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D1561E" w:rsidRPr="00D1561E" w14:paraId="3E038461" w14:textId="77777777" w:rsidTr="00165C98">
        <w:tc>
          <w:tcPr>
            <w:tcW w:w="3835" w:type="pct"/>
          </w:tcPr>
          <w:p w14:paraId="3E226074" w14:textId="77777777" w:rsidR="00D1561E" w:rsidRPr="00D1561E" w:rsidRDefault="00D1561E" w:rsidP="00D1561E">
            <w:pPr>
              <w:rPr>
                <w:rFonts w:ascii="Arial" w:eastAsia="Malgun Gothic" w:hAnsi="Arial" w:cs="Times New Roman"/>
                <w:b/>
                <w:color w:val="19488C"/>
                <w:spacing w:val="20"/>
                <w:kern w:val="28"/>
                <w:szCs w:val="52"/>
              </w:rPr>
            </w:pPr>
            <w:r w:rsidRPr="00D1561E">
              <w:rPr>
                <w:rFonts w:ascii="Arial" w:eastAsia="Malgun Gothic" w:hAnsi="Arial" w:cs="Times New Roman"/>
                <w:b/>
                <w:color w:val="19488C"/>
                <w:spacing w:val="20"/>
                <w:kern w:val="28"/>
                <w:szCs w:val="52"/>
              </w:rPr>
              <w:t>Samningur</w:t>
            </w:r>
          </w:p>
        </w:tc>
        <w:tc>
          <w:tcPr>
            <w:tcW w:w="1165" w:type="pct"/>
          </w:tcPr>
          <w:p w14:paraId="47DB2ABE" w14:textId="77777777" w:rsidR="00D1561E" w:rsidRPr="00D1561E" w:rsidRDefault="00D1561E" w:rsidP="00D1561E">
            <w:pPr>
              <w:tabs>
                <w:tab w:val="left" w:pos="646"/>
              </w:tabs>
              <w:jc w:val="right"/>
              <w:rPr>
                <w:rFonts w:ascii="Calibri" w:eastAsia="Calibri" w:hAnsi="Calibri" w:cs="Arial"/>
                <w:sz w:val="20"/>
                <w:szCs w:val="20"/>
              </w:rPr>
            </w:pPr>
            <w:r w:rsidRPr="00D1561E">
              <w:rPr>
                <w:rFonts w:ascii="Calibri" w:eastAsia="Calibri" w:hAnsi="Calibri" w:cs="Arial"/>
                <w:noProof/>
                <w:sz w:val="20"/>
                <w:szCs w:val="20"/>
                <w:lang w:val="en-US"/>
              </w:rPr>
              <w:drawing>
                <wp:anchor distT="0" distB="0" distL="114300" distR="114300" simplePos="0" relativeHeight="251659264" behindDoc="1" locked="0" layoutInCell="1" allowOverlap="1" wp14:anchorId="420CACF2" wp14:editId="7B53922F">
                  <wp:simplePos x="0" y="0"/>
                  <wp:positionH relativeFrom="column">
                    <wp:posOffset>247856</wp:posOffset>
                  </wp:positionH>
                  <wp:positionV relativeFrom="page">
                    <wp:posOffset>-2540</wp:posOffset>
                  </wp:positionV>
                  <wp:extent cx="1144800" cy="24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1561E" w:rsidRPr="00D1561E" w14:paraId="111DDF50" w14:textId="77777777" w:rsidTr="00165C98">
        <w:trPr>
          <w:trHeight w:val="397"/>
        </w:trPr>
        <w:tc>
          <w:tcPr>
            <w:tcW w:w="3835" w:type="pct"/>
            <w:vAlign w:val="center"/>
          </w:tcPr>
          <w:p w14:paraId="501BFFD9" w14:textId="37C32540" w:rsidR="00D1561E" w:rsidRDefault="00D1561E" w:rsidP="00D1561E">
            <w:pPr>
              <w:rPr>
                <w:rFonts w:ascii="Arial" w:eastAsia="Malgun Gothic" w:hAnsi="Arial" w:cs="Times New Roman"/>
                <w:color w:val="19488C"/>
                <w:spacing w:val="15"/>
                <w:sz w:val="22"/>
              </w:rPr>
            </w:pPr>
            <w:r w:rsidRPr="00D1561E">
              <w:rPr>
                <w:rFonts w:ascii="Arial" w:eastAsia="Malgun Gothic" w:hAnsi="Arial" w:cs="Times New Roman"/>
                <w:color w:val="19488C"/>
                <w:spacing w:val="15"/>
                <w:sz w:val="22"/>
              </w:rPr>
              <w:t>um aðgang innheimtufyrirtækis að innheimtukröfum</w:t>
            </w:r>
          </w:p>
          <w:p w14:paraId="27FA5069" w14:textId="5D32FB87" w:rsidR="00D1561E" w:rsidRPr="00D1561E" w:rsidRDefault="00D1561E" w:rsidP="00D1561E">
            <w:pPr>
              <w:rPr>
                <w:rFonts w:ascii="Arial" w:eastAsia="Malgun Gothic" w:hAnsi="Arial" w:cs="Times New Roman"/>
                <w:iCs/>
                <w:color w:val="19488C"/>
                <w:spacing w:val="15"/>
                <w:sz w:val="22"/>
              </w:rPr>
            </w:pPr>
            <w:r w:rsidRPr="00D1561E">
              <w:rPr>
                <w:rFonts w:ascii="Arial" w:eastAsia="Malgun Gothic" w:hAnsi="Arial" w:cs="Times New Roman"/>
                <w:color w:val="19488C"/>
                <w:spacing w:val="15"/>
                <w:sz w:val="22"/>
              </w:rPr>
              <w:t>í gegnum Netbanka Arion banka</w:t>
            </w:r>
          </w:p>
        </w:tc>
        <w:tc>
          <w:tcPr>
            <w:tcW w:w="1165" w:type="pct"/>
            <w:vAlign w:val="bottom"/>
          </w:tcPr>
          <w:p w14:paraId="48EB9772" w14:textId="77777777" w:rsidR="00D1561E" w:rsidRPr="00D1561E" w:rsidRDefault="00D1561E" w:rsidP="00D1561E">
            <w:pPr>
              <w:jc w:val="right"/>
              <w:rPr>
                <w:rFonts w:ascii="Calibri" w:eastAsia="Calibri" w:hAnsi="Calibri" w:cs="Arial"/>
                <w:noProof/>
                <w:sz w:val="20"/>
                <w:szCs w:val="20"/>
                <w:lang w:eastAsia="is-IS"/>
              </w:rPr>
            </w:pPr>
          </w:p>
        </w:tc>
      </w:tr>
    </w:tbl>
    <w:p w14:paraId="5BC7F32B" w14:textId="77777777" w:rsidR="00BF5401" w:rsidRDefault="00BF5401">
      <w:pPr>
        <w:rPr>
          <w:rStyle w:val="SubtleEmphasis"/>
        </w:rPr>
      </w:pPr>
    </w:p>
    <w:p w14:paraId="5BC7F32C" w14:textId="77777777" w:rsidR="00B935A3" w:rsidRDefault="00B935A3">
      <w:pPr>
        <w:rPr>
          <w:rStyle w:val="SubtleEmphasis"/>
        </w:rPr>
      </w:pPr>
    </w:p>
    <w:p w14:paraId="5BC7F32D" w14:textId="2EC208A3" w:rsidR="001424C8" w:rsidRPr="001424C8" w:rsidRDefault="001424C8" w:rsidP="001424C8">
      <w:pPr>
        <w:jc w:val="both"/>
        <w:rPr>
          <w:rStyle w:val="SubtleEmphasis"/>
        </w:rPr>
      </w:pPr>
      <w:r w:rsidRPr="001424C8">
        <w:rPr>
          <w:rStyle w:val="SubtleEmphasis"/>
        </w:rPr>
        <w:t xml:space="preserve">Undirritaður kröfuhafi, Arion banki hf. kt. 581008-0150 (einnig nefndur „bankinn“) og neðangreint innheimtufyrirtæki (einnig nefnt „notandi“) gera með sér eftirfarandi samning um aðgang að innheimtukerfi bankans í gegnum netbanka eða vefþjónustu </w:t>
      </w:r>
      <w:r w:rsidR="00AF46EA">
        <w:rPr>
          <w:rStyle w:val="SubtleEmphasis"/>
        </w:rPr>
        <w:t>kröfuhafa</w:t>
      </w:r>
      <w:r w:rsidRPr="001424C8">
        <w:rPr>
          <w:rStyle w:val="SubtleEmphasis"/>
        </w:rPr>
        <w:t xml:space="preserve">. </w:t>
      </w:r>
    </w:p>
    <w:p w14:paraId="5BC7F32E" w14:textId="77777777" w:rsidR="001424C8" w:rsidRPr="001424C8" w:rsidRDefault="001424C8" w:rsidP="001424C8">
      <w:pPr>
        <w:jc w:val="both"/>
        <w:rPr>
          <w:rStyle w:val="Strong"/>
        </w:rPr>
      </w:pPr>
    </w:p>
    <w:tbl>
      <w:tblPr>
        <w:tblW w:w="0" w:type="auto"/>
        <w:tblLook w:val="04A0" w:firstRow="1" w:lastRow="0" w:firstColumn="1" w:lastColumn="0" w:noHBand="0" w:noVBand="1"/>
      </w:tblPr>
      <w:tblGrid>
        <w:gridCol w:w="6062"/>
        <w:gridCol w:w="283"/>
        <w:gridCol w:w="426"/>
        <w:gridCol w:w="283"/>
        <w:gridCol w:w="2724"/>
      </w:tblGrid>
      <w:tr w:rsidR="001424C8" w:rsidRPr="001424C8" w14:paraId="5BC7F332" w14:textId="77777777" w:rsidTr="001424C8">
        <w:tc>
          <w:tcPr>
            <w:tcW w:w="6771" w:type="dxa"/>
            <w:gridSpan w:val="3"/>
            <w:tcBorders>
              <w:bottom w:val="single" w:sz="2" w:space="0" w:color="auto"/>
            </w:tcBorders>
          </w:tcPr>
          <w:bookmarkStart w:id="0" w:name="NAFN1"/>
          <w:p w14:paraId="5BC7F32F" w14:textId="77777777" w:rsidR="001424C8" w:rsidRPr="001424C8" w:rsidRDefault="006F30C9" w:rsidP="001424C8">
            <w:pPr>
              <w:rPr>
                <w:rStyle w:val="SubtleEmphasis"/>
              </w:rPr>
            </w:pPr>
            <w:r>
              <w:rPr>
                <w:rStyle w:val="SubtleEmphasis"/>
              </w:rPr>
              <w:fldChar w:fldCharType="begin">
                <w:ffData>
                  <w:name w:val="NAFN1"/>
                  <w:enabled/>
                  <w:calcOnExit w:val="0"/>
                  <w:textInput>
                    <w:maxLength w:val="5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0"/>
          </w:p>
        </w:tc>
        <w:tc>
          <w:tcPr>
            <w:tcW w:w="283" w:type="dxa"/>
          </w:tcPr>
          <w:p w14:paraId="5BC7F330" w14:textId="77777777" w:rsidR="001424C8" w:rsidRPr="001424C8" w:rsidRDefault="001424C8" w:rsidP="001424C8">
            <w:pPr>
              <w:rPr>
                <w:rStyle w:val="SubtleEmphasis"/>
              </w:rPr>
            </w:pPr>
          </w:p>
        </w:tc>
        <w:bookmarkStart w:id="1" w:name="KT1"/>
        <w:tc>
          <w:tcPr>
            <w:tcW w:w="2724" w:type="dxa"/>
            <w:tcBorders>
              <w:bottom w:val="single" w:sz="2" w:space="0" w:color="auto"/>
            </w:tcBorders>
          </w:tcPr>
          <w:p w14:paraId="5BC7F331" w14:textId="77777777" w:rsidR="001424C8" w:rsidRPr="001424C8" w:rsidRDefault="006F30C9" w:rsidP="001424C8">
            <w:pPr>
              <w:rPr>
                <w:rStyle w:val="SubtleEmphasis"/>
              </w:rPr>
            </w:pPr>
            <w:r>
              <w:rPr>
                <w:rStyle w:val="SubtleEmphasis"/>
              </w:rPr>
              <w:fldChar w:fldCharType="begin">
                <w:ffData>
                  <w:name w:val="KT1"/>
                  <w:enabled/>
                  <w:calcOnExit w:val="0"/>
                  <w:textInput>
                    <w:maxLength w:val="11"/>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
          </w:p>
        </w:tc>
      </w:tr>
      <w:tr w:rsidR="001424C8" w:rsidRPr="001424C8" w14:paraId="5BC7F336" w14:textId="77777777" w:rsidTr="001424C8">
        <w:trPr>
          <w:trHeight w:val="222"/>
        </w:trPr>
        <w:tc>
          <w:tcPr>
            <w:tcW w:w="6771" w:type="dxa"/>
            <w:gridSpan w:val="3"/>
            <w:tcBorders>
              <w:top w:val="single" w:sz="2" w:space="0" w:color="auto"/>
            </w:tcBorders>
          </w:tcPr>
          <w:p w14:paraId="5BC7F333" w14:textId="77777777" w:rsidR="001424C8" w:rsidRPr="001424C8" w:rsidRDefault="001424C8" w:rsidP="001424C8">
            <w:pPr>
              <w:rPr>
                <w:rStyle w:val="Strong"/>
              </w:rPr>
            </w:pPr>
            <w:r w:rsidRPr="001424C8">
              <w:rPr>
                <w:rStyle w:val="Strong"/>
              </w:rPr>
              <w:t>Nafn kröfuhafa</w:t>
            </w:r>
          </w:p>
        </w:tc>
        <w:tc>
          <w:tcPr>
            <w:tcW w:w="283" w:type="dxa"/>
          </w:tcPr>
          <w:p w14:paraId="5BC7F334" w14:textId="77777777" w:rsidR="001424C8" w:rsidRPr="001424C8" w:rsidRDefault="001424C8" w:rsidP="001424C8">
            <w:pPr>
              <w:rPr>
                <w:rStyle w:val="Strong"/>
              </w:rPr>
            </w:pPr>
          </w:p>
        </w:tc>
        <w:tc>
          <w:tcPr>
            <w:tcW w:w="2724" w:type="dxa"/>
            <w:tcBorders>
              <w:top w:val="single" w:sz="2" w:space="0" w:color="auto"/>
            </w:tcBorders>
          </w:tcPr>
          <w:p w14:paraId="5BC7F335" w14:textId="77777777" w:rsidR="001424C8" w:rsidRPr="001424C8" w:rsidRDefault="001424C8" w:rsidP="001424C8">
            <w:pPr>
              <w:rPr>
                <w:rStyle w:val="Strong"/>
              </w:rPr>
            </w:pPr>
            <w:r w:rsidRPr="001424C8">
              <w:rPr>
                <w:rStyle w:val="Strong"/>
              </w:rPr>
              <w:t>Kennitala</w:t>
            </w:r>
          </w:p>
        </w:tc>
      </w:tr>
      <w:bookmarkStart w:id="2" w:name="Text3"/>
      <w:tr w:rsidR="001424C8" w:rsidRPr="001424C8" w14:paraId="5BC7F33A" w14:textId="77777777" w:rsidTr="001424C8">
        <w:tc>
          <w:tcPr>
            <w:tcW w:w="6062" w:type="dxa"/>
            <w:tcBorders>
              <w:bottom w:val="single" w:sz="2" w:space="0" w:color="auto"/>
            </w:tcBorders>
          </w:tcPr>
          <w:p w14:paraId="5BC7F337" w14:textId="77777777" w:rsidR="001424C8" w:rsidRPr="001424C8" w:rsidRDefault="001424C8" w:rsidP="001424C8">
            <w:pPr>
              <w:rPr>
                <w:rStyle w:val="SubtleEmphasis"/>
              </w:rPr>
            </w:pPr>
            <w:r w:rsidRPr="001424C8">
              <w:rPr>
                <w:rStyle w:val="SubtleEmphasis"/>
              </w:rPr>
              <w:fldChar w:fldCharType="begin">
                <w:ffData>
                  <w:name w:val="Text3"/>
                  <w:enabled/>
                  <w:calcOnExit w:val="0"/>
                  <w:textInput>
                    <w:maxLength w:val="50"/>
                  </w:textInput>
                </w:ffData>
              </w:fldChar>
            </w:r>
            <w:r w:rsidRPr="001424C8">
              <w:rPr>
                <w:rStyle w:val="SubtleEmphasis"/>
              </w:rPr>
              <w:instrText xml:space="preserve"> FORMTEXT </w:instrText>
            </w:r>
            <w:r w:rsidRPr="001424C8">
              <w:rPr>
                <w:rStyle w:val="SubtleEmphasis"/>
              </w:rPr>
            </w:r>
            <w:r w:rsidRPr="001424C8">
              <w:rPr>
                <w:rStyle w:val="SubtleEmphasis"/>
              </w:rPr>
              <w:fldChar w:fldCharType="separate"/>
            </w:r>
            <w:r w:rsidRPr="001424C8">
              <w:rPr>
                <w:rStyle w:val="SubtleEmphasis"/>
              </w:rPr>
              <w:t> </w:t>
            </w:r>
            <w:r w:rsidRPr="001424C8">
              <w:rPr>
                <w:rStyle w:val="SubtleEmphasis"/>
              </w:rPr>
              <w:t> </w:t>
            </w:r>
            <w:r w:rsidRPr="001424C8">
              <w:rPr>
                <w:rStyle w:val="SubtleEmphasis"/>
              </w:rPr>
              <w:t> </w:t>
            </w:r>
            <w:r w:rsidRPr="001424C8">
              <w:rPr>
                <w:rStyle w:val="SubtleEmphasis"/>
              </w:rPr>
              <w:t> </w:t>
            </w:r>
            <w:r w:rsidRPr="001424C8">
              <w:rPr>
                <w:rStyle w:val="SubtleEmphasis"/>
              </w:rPr>
              <w:t> </w:t>
            </w:r>
            <w:r w:rsidRPr="001424C8">
              <w:rPr>
                <w:rStyle w:val="SubtleEmphasis"/>
              </w:rPr>
              <w:fldChar w:fldCharType="end"/>
            </w:r>
            <w:bookmarkEnd w:id="2"/>
          </w:p>
        </w:tc>
        <w:tc>
          <w:tcPr>
            <w:tcW w:w="283" w:type="dxa"/>
          </w:tcPr>
          <w:p w14:paraId="5BC7F338" w14:textId="77777777" w:rsidR="001424C8" w:rsidRPr="001424C8" w:rsidRDefault="001424C8" w:rsidP="001424C8">
            <w:pPr>
              <w:rPr>
                <w:rStyle w:val="SubtleEmphasis"/>
              </w:rPr>
            </w:pPr>
          </w:p>
        </w:tc>
        <w:tc>
          <w:tcPr>
            <w:tcW w:w="3433" w:type="dxa"/>
            <w:gridSpan w:val="3"/>
            <w:vMerge w:val="restart"/>
            <w:vAlign w:val="center"/>
          </w:tcPr>
          <w:p w14:paraId="5BC7F339" w14:textId="77777777" w:rsidR="001424C8" w:rsidRPr="001424C8" w:rsidRDefault="001424C8" w:rsidP="001424C8">
            <w:pPr>
              <w:rPr>
                <w:rStyle w:val="Emphasis"/>
              </w:rPr>
            </w:pPr>
            <w:r w:rsidRPr="001424C8">
              <w:rPr>
                <w:rStyle w:val="Emphasis"/>
              </w:rPr>
              <w:t>Staðfesting verður send í tölvupósti til kröfuhafa þegar aðgangur hefur verið stofnaður.</w:t>
            </w:r>
          </w:p>
        </w:tc>
      </w:tr>
      <w:tr w:rsidR="001424C8" w:rsidRPr="001424C8" w14:paraId="5BC7F33E" w14:textId="77777777" w:rsidTr="001424C8">
        <w:trPr>
          <w:trHeight w:val="133"/>
        </w:trPr>
        <w:tc>
          <w:tcPr>
            <w:tcW w:w="6062" w:type="dxa"/>
            <w:tcBorders>
              <w:top w:val="single" w:sz="2" w:space="0" w:color="auto"/>
            </w:tcBorders>
          </w:tcPr>
          <w:p w14:paraId="5BC7F33B" w14:textId="17751DDA" w:rsidR="001424C8" w:rsidRPr="001424C8" w:rsidRDefault="001424C8" w:rsidP="001424C8">
            <w:pPr>
              <w:rPr>
                <w:rStyle w:val="Strong"/>
              </w:rPr>
            </w:pPr>
            <w:r w:rsidRPr="001424C8">
              <w:rPr>
                <w:rStyle w:val="Strong"/>
              </w:rPr>
              <w:t>Netfang stjórnarmanns/framkvæmdastjóra/fjármálastjóra</w:t>
            </w:r>
            <w:r w:rsidR="00AF46EA">
              <w:rPr>
                <w:rStyle w:val="Strong"/>
              </w:rPr>
              <w:t xml:space="preserve"> (ef við á)</w:t>
            </w:r>
          </w:p>
        </w:tc>
        <w:tc>
          <w:tcPr>
            <w:tcW w:w="283" w:type="dxa"/>
          </w:tcPr>
          <w:p w14:paraId="5BC7F33C" w14:textId="77777777" w:rsidR="001424C8" w:rsidRPr="001424C8" w:rsidRDefault="001424C8" w:rsidP="001424C8">
            <w:pPr>
              <w:rPr>
                <w:rStyle w:val="Strong"/>
              </w:rPr>
            </w:pPr>
          </w:p>
        </w:tc>
        <w:tc>
          <w:tcPr>
            <w:tcW w:w="3433" w:type="dxa"/>
            <w:gridSpan w:val="3"/>
            <w:vMerge/>
          </w:tcPr>
          <w:p w14:paraId="5BC7F33D" w14:textId="77777777" w:rsidR="001424C8" w:rsidRPr="001424C8" w:rsidRDefault="001424C8" w:rsidP="001424C8">
            <w:pPr>
              <w:rPr>
                <w:rStyle w:val="Strong"/>
              </w:rPr>
            </w:pPr>
          </w:p>
        </w:tc>
      </w:tr>
    </w:tbl>
    <w:p w14:paraId="5BC7F33F" w14:textId="77777777" w:rsidR="001424C8" w:rsidRPr="001424C8" w:rsidRDefault="001424C8" w:rsidP="001424C8">
      <w:pPr>
        <w:rPr>
          <w:rStyle w:val="Strong"/>
        </w:rPr>
      </w:pPr>
    </w:p>
    <w:p w14:paraId="5BC7F340" w14:textId="77777777" w:rsidR="001424C8" w:rsidRPr="001424C8" w:rsidRDefault="001424C8" w:rsidP="001424C8">
      <w:pPr>
        <w:rPr>
          <w:rStyle w:val="SubtleEmphasis"/>
        </w:rPr>
      </w:pPr>
      <w:r w:rsidRPr="001424C8">
        <w:rPr>
          <w:rStyle w:val="SubtleEmphasis"/>
        </w:rPr>
        <w:t>veitir hér með neðangreindu innheimtufyrirtæki fullan og ótakmarkaðan aðgang að innheimtukerfi í netbanka sínum.</w:t>
      </w:r>
    </w:p>
    <w:p w14:paraId="5BC7F341" w14:textId="77777777" w:rsidR="001424C8" w:rsidRPr="001424C8" w:rsidRDefault="001424C8" w:rsidP="001424C8">
      <w:pPr>
        <w:rPr>
          <w:rStyle w:val="Strong"/>
        </w:rPr>
      </w:pPr>
    </w:p>
    <w:tbl>
      <w:tblPr>
        <w:tblW w:w="0" w:type="auto"/>
        <w:tblLook w:val="04A0" w:firstRow="1" w:lastRow="0" w:firstColumn="1" w:lastColumn="0" w:noHBand="0" w:noVBand="1"/>
      </w:tblPr>
      <w:tblGrid>
        <w:gridCol w:w="3510"/>
        <w:gridCol w:w="426"/>
        <w:gridCol w:w="2835"/>
        <w:gridCol w:w="283"/>
        <w:gridCol w:w="709"/>
        <w:gridCol w:w="288"/>
        <w:gridCol w:w="1727"/>
      </w:tblGrid>
      <w:tr w:rsidR="001424C8" w:rsidRPr="001424C8" w14:paraId="5BC7F345" w14:textId="77777777" w:rsidTr="001424C8">
        <w:tc>
          <w:tcPr>
            <w:tcW w:w="6771" w:type="dxa"/>
            <w:gridSpan w:val="3"/>
            <w:tcBorders>
              <w:bottom w:val="single" w:sz="2" w:space="0" w:color="auto"/>
            </w:tcBorders>
          </w:tcPr>
          <w:bookmarkStart w:id="3" w:name="NAFN2"/>
          <w:p w14:paraId="5BC7F342" w14:textId="77777777" w:rsidR="001424C8" w:rsidRPr="001424C8" w:rsidRDefault="006F30C9" w:rsidP="001424C8">
            <w:pPr>
              <w:rPr>
                <w:rStyle w:val="SubtleEmphasis"/>
              </w:rPr>
            </w:pPr>
            <w:r>
              <w:rPr>
                <w:rStyle w:val="SubtleEmphasis"/>
              </w:rPr>
              <w:fldChar w:fldCharType="begin">
                <w:ffData>
                  <w:name w:val="NAFN2"/>
                  <w:enabled/>
                  <w:calcOnExit w:val="0"/>
                  <w:textInput>
                    <w:maxLength w:val="5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c>
          <w:tcPr>
            <w:tcW w:w="283" w:type="dxa"/>
          </w:tcPr>
          <w:p w14:paraId="5BC7F343" w14:textId="77777777" w:rsidR="001424C8" w:rsidRPr="001424C8" w:rsidRDefault="001424C8" w:rsidP="001424C8">
            <w:pPr>
              <w:rPr>
                <w:rStyle w:val="SubtleEmphasis"/>
              </w:rPr>
            </w:pPr>
          </w:p>
        </w:tc>
        <w:bookmarkStart w:id="4" w:name="KT2"/>
        <w:tc>
          <w:tcPr>
            <w:tcW w:w="2724" w:type="dxa"/>
            <w:gridSpan w:val="3"/>
            <w:tcBorders>
              <w:bottom w:val="single" w:sz="2" w:space="0" w:color="auto"/>
            </w:tcBorders>
          </w:tcPr>
          <w:p w14:paraId="5BC7F344" w14:textId="77777777" w:rsidR="001424C8" w:rsidRPr="001424C8" w:rsidRDefault="006F30C9" w:rsidP="001424C8">
            <w:pPr>
              <w:rPr>
                <w:rStyle w:val="SubtleEmphasis"/>
              </w:rPr>
            </w:pPr>
            <w:r>
              <w:rPr>
                <w:rStyle w:val="SubtleEmphasis"/>
              </w:rPr>
              <w:fldChar w:fldCharType="begin">
                <w:ffData>
                  <w:name w:val="KT2"/>
                  <w:enabled/>
                  <w:calcOnExit w:val="0"/>
                  <w:textInput>
                    <w:maxLength w:val="11"/>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p>
        </w:tc>
      </w:tr>
      <w:tr w:rsidR="001424C8" w:rsidRPr="006F30C9" w14:paraId="5BC7F349" w14:textId="77777777" w:rsidTr="001424C8">
        <w:tc>
          <w:tcPr>
            <w:tcW w:w="6771" w:type="dxa"/>
            <w:gridSpan w:val="3"/>
            <w:tcBorders>
              <w:top w:val="single" w:sz="2" w:space="0" w:color="auto"/>
            </w:tcBorders>
          </w:tcPr>
          <w:p w14:paraId="5BC7F346" w14:textId="77777777" w:rsidR="001424C8" w:rsidRPr="006F30C9" w:rsidRDefault="001424C8" w:rsidP="001424C8">
            <w:pPr>
              <w:rPr>
                <w:rStyle w:val="Strong"/>
              </w:rPr>
            </w:pPr>
            <w:r w:rsidRPr="006F30C9">
              <w:rPr>
                <w:rStyle w:val="Strong"/>
              </w:rPr>
              <w:t>Nafn innheimtufyrirtækis</w:t>
            </w:r>
          </w:p>
        </w:tc>
        <w:tc>
          <w:tcPr>
            <w:tcW w:w="283" w:type="dxa"/>
          </w:tcPr>
          <w:p w14:paraId="5BC7F347" w14:textId="77777777" w:rsidR="001424C8" w:rsidRPr="006F30C9" w:rsidRDefault="001424C8" w:rsidP="001424C8">
            <w:pPr>
              <w:rPr>
                <w:rStyle w:val="Strong"/>
              </w:rPr>
            </w:pPr>
          </w:p>
        </w:tc>
        <w:tc>
          <w:tcPr>
            <w:tcW w:w="2724" w:type="dxa"/>
            <w:gridSpan w:val="3"/>
            <w:tcBorders>
              <w:top w:val="single" w:sz="2" w:space="0" w:color="auto"/>
            </w:tcBorders>
          </w:tcPr>
          <w:p w14:paraId="5BC7F348" w14:textId="77777777" w:rsidR="001424C8" w:rsidRPr="006F30C9" w:rsidRDefault="001424C8" w:rsidP="001424C8">
            <w:pPr>
              <w:rPr>
                <w:rStyle w:val="Strong"/>
              </w:rPr>
            </w:pPr>
            <w:r w:rsidRPr="006F30C9">
              <w:rPr>
                <w:rStyle w:val="Strong"/>
              </w:rPr>
              <w:t>Kennitala</w:t>
            </w:r>
          </w:p>
        </w:tc>
      </w:tr>
      <w:bookmarkStart w:id="5" w:name="Text84"/>
      <w:tr w:rsidR="001424C8" w:rsidRPr="001424C8" w14:paraId="5BC7F34F" w14:textId="77777777" w:rsidTr="001424C8">
        <w:tc>
          <w:tcPr>
            <w:tcW w:w="3510" w:type="dxa"/>
            <w:tcBorders>
              <w:bottom w:val="single" w:sz="2" w:space="0" w:color="auto"/>
            </w:tcBorders>
          </w:tcPr>
          <w:p w14:paraId="5BC7F34A" w14:textId="77777777" w:rsidR="001424C8" w:rsidRPr="001424C8" w:rsidRDefault="001424C8" w:rsidP="001424C8">
            <w:pPr>
              <w:rPr>
                <w:rStyle w:val="SubtleEmphasis"/>
              </w:rPr>
            </w:pPr>
            <w:r w:rsidRPr="001424C8">
              <w:rPr>
                <w:rStyle w:val="SubtleEmphasis"/>
              </w:rPr>
              <w:fldChar w:fldCharType="begin">
                <w:ffData>
                  <w:name w:val="Text84"/>
                  <w:enabled/>
                  <w:calcOnExit w:val="0"/>
                  <w:textInput>
                    <w:maxLength w:val="50"/>
                  </w:textInput>
                </w:ffData>
              </w:fldChar>
            </w:r>
            <w:r w:rsidRPr="001424C8">
              <w:rPr>
                <w:rStyle w:val="SubtleEmphasis"/>
              </w:rPr>
              <w:instrText xml:space="preserve"> FORMTEXT </w:instrText>
            </w:r>
            <w:r w:rsidRPr="001424C8">
              <w:rPr>
                <w:rStyle w:val="SubtleEmphasis"/>
              </w:rPr>
            </w:r>
            <w:r w:rsidRPr="001424C8">
              <w:rPr>
                <w:rStyle w:val="SubtleEmphasis"/>
              </w:rPr>
              <w:fldChar w:fldCharType="separate"/>
            </w:r>
            <w:r w:rsidRPr="001424C8">
              <w:rPr>
                <w:rStyle w:val="SubtleEmphasis"/>
              </w:rPr>
              <w:t> </w:t>
            </w:r>
            <w:r w:rsidRPr="001424C8">
              <w:rPr>
                <w:rStyle w:val="SubtleEmphasis"/>
              </w:rPr>
              <w:t> </w:t>
            </w:r>
            <w:r w:rsidRPr="001424C8">
              <w:rPr>
                <w:rStyle w:val="SubtleEmphasis"/>
              </w:rPr>
              <w:t> </w:t>
            </w:r>
            <w:r w:rsidRPr="001424C8">
              <w:rPr>
                <w:rStyle w:val="SubtleEmphasis"/>
              </w:rPr>
              <w:t> </w:t>
            </w:r>
            <w:r w:rsidRPr="001424C8">
              <w:rPr>
                <w:rStyle w:val="SubtleEmphasis"/>
              </w:rPr>
              <w:t> </w:t>
            </w:r>
            <w:r w:rsidRPr="001424C8">
              <w:rPr>
                <w:rStyle w:val="SubtleEmphasis"/>
              </w:rPr>
              <w:fldChar w:fldCharType="end"/>
            </w:r>
            <w:bookmarkEnd w:id="5"/>
          </w:p>
        </w:tc>
        <w:tc>
          <w:tcPr>
            <w:tcW w:w="426" w:type="dxa"/>
          </w:tcPr>
          <w:p w14:paraId="5BC7F34B" w14:textId="77777777" w:rsidR="001424C8" w:rsidRPr="001424C8" w:rsidRDefault="001424C8" w:rsidP="001424C8">
            <w:pPr>
              <w:rPr>
                <w:rStyle w:val="SubtleEmphasis"/>
              </w:rPr>
            </w:pPr>
          </w:p>
        </w:tc>
        <w:bookmarkStart w:id="6" w:name="Text85"/>
        <w:tc>
          <w:tcPr>
            <w:tcW w:w="3827" w:type="dxa"/>
            <w:gridSpan w:val="3"/>
            <w:tcBorders>
              <w:bottom w:val="single" w:sz="2" w:space="0" w:color="auto"/>
            </w:tcBorders>
          </w:tcPr>
          <w:p w14:paraId="5BC7F34C" w14:textId="77777777" w:rsidR="001424C8" w:rsidRPr="001424C8" w:rsidRDefault="001424C8" w:rsidP="001424C8">
            <w:pPr>
              <w:rPr>
                <w:rStyle w:val="SubtleEmphasis"/>
              </w:rPr>
            </w:pPr>
            <w:r w:rsidRPr="001424C8">
              <w:rPr>
                <w:rStyle w:val="SubtleEmphasis"/>
              </w:rPr>
              <w:fldChar w:fldCharType="begin">
                <w:ffData>
                  <w:name w:val="Text85"/>
                  <w:enabled/>
                  <w:calcOnExit w:val="0"/>
                  <w:textInput>
                    <w:maxLength w:val="50"/>
                  </w:textInput>
                </w:ffData>
              </w:fldChar>
            </w:r>
            <w:r w:rsidRPr="001424C8">
              <w:rPr>
                <w:rStyle w:val="SubtleEmphasis"/>
              </w:rPr>
              <w:instrText xml:space="preserve"> FORMTEXT </w:instrText>
            </w:r>
            <w:r w:rsidRPr="001424C8">
              <w:rPr>
                <w:rStyle w:val="SubtleEmphasis"/>
              </w:rPr>
            </w:r>
            <w:r w:rsidRPr="001424C8">
              <w:rPr>
                <w:rStyle w:val="SubtleEmphasis"/>
              </w:rPr>
              <w:fldChar w:fldCharType="separate"/>
            </w:r>
            <w:r w:rsidRPr="001424C8">
              <w:rPr>
                <w:rStyle w:val="SubtleEmphasis"/>
              </w:rPr>
              <w:t> </w:t>
            </w:r>
            <w:r w:rsidRPr="001424C8">
              <w:rPr>
                <w:rStyle w:val="SubtleEmphasis"/>
              </w:rPr>
              <w:t> </w:t>
            </w:r>
            <w:r w:rsidRPr="001424C8">
              <w:rPr>
                <w:rStyle w:val="SubtleEmphasis"/>
              </w:rPr>
              <w:t> </w:t>
            </w:r>
            <w:r w:rsidRPr="001424C8">
              <w:rPr>
                <w:rStyle w:val="SubtleEmphasis"/>
              </w:rPr>
              <w:t> </w:t>
            </w:r>
            <w:r w:rsidRPr="001424C8">
              <w:rPr>
                <w:rStyle w:val="SubtleEmphasis"/>
              </w:rPr>
              <w:t> </w:t>
            </w:r>
            <w:r w:rsidRPr="001424C8">
              <w:rPr>
                <w:rStyle w:val="SubtleEmphasis"/>
              </w:rPr>
              <w:fldChar w:fldCharType="end"/>
            </w:r>
            <w:bookmarkEnd w:id="6"/>
          </w:p>
        </w:tc>
        <w:tc>
          <w:tcPr>
            <w:tcW w:w="288" w:type="dxa"/>
          </w:tcPr>
          <w:p w14:paraId="5BC7F34D" w14:textId="77777777" w:rsidR="001424C8" w:rsidRPr="001424C8" w:rsidRDefault="001424C8" w:rsidP="001424C8">
            <w:pPr>
              <w:rPr>
                <w:rStyle w:val="SubtleEmphasis"/>
              </w:rPr>
            </w:pPr>
          </w:p>
        </w:tc>
        <w:bookmarkStart w:id="7" w:name="Text86"/>
        <w:tc>
          <w:tcPr>
            <w:tcW w:w="1727" w:type="dxa"/>
            <w:tcBorders>
              <w:bottom w:val="single" w:sz="2" w:space="0" w:color="auto"/>
            </w:tcBorders>
          </w:tcPr>
          <w:p w14:paraId="5BC7F34E" w14:textId="77777777" w:rsidR="001424C8" w:rsidRPr="001424C8" w:rsidRDefault="001424C8" w:rsidP="001424C8">
            <w:pPr>
              <w:rPr>
                <w:rStyle w:val="SubtleEmphasis"/>
              </w:rPr>
            </w:pPr>
            <w:r w:rsidRPr="001424C8">
              <w:rPr>
                <w:rStyle w:val="SubtleEmphasis"/>
              </w:rPr>
              <w:fldChar w:fldCharType="begin">
                <w:ffData>
                  <w:name w:val="Text86"/>
                  <w:enabled/>
                  <w:calcOnExit w:val="0"/>
                  <w:textInput>
                    <w:maxLength w:val="8"/>
                  </w:textInput>
                </w:ffData>
              </w:fldChar>
            </w:r>
            <w:r w:rsidRPr="001424C8">
              <w:rPr>
                <w:rStyle w:val="SubtleEmphasis"/>
              </w:rPr>
              <w:instrText xml:space="preserve"> FORMTEXT </w:instrText>
            </w:r>
            <w:r w:rsidRPr="001424C8">
              <w:rPr>
                <w:rStyle w:val="SubtleEmphasis"/>
              </w:rPr>
            </w:r>
            <w:r w:rsidRPr="001424C8">
              <w:rPr>
                <w:rStyle w:val="SubtleEmphasis"/>
              </w:rPr>
              <w:fldChar w:fldCharType="separate"/>
            </w:r>
            <w:r w:rsidRPr="001424C8">
              <w:rPr>
                <w:rStyle w:val="SubtleEmphasis"/>
              </w:rPr>
              <w:t> </w:t>
            </w:r>
            <w:r w:rsidRPr="001424C8">
              <w:rPr>
                <w:rStyle w:val="SubtleEmphasis"/>
              </w:rPr>
              <w:t> </w:t>
            </w:r>
            <w:r w:rsidRPr="001424C8">
              <w:rPr>
                <w:rStyle w:val="SubtleEmphasis"/>
              </w:rPr>
              <w:t> </w:t>
            </w:r>
            <w:r w:rsidRPr="001424C8">
              <w:rPr>
                <w:rStyle w:val="SubtleEmphasis"/>
              </w:rPr>
              <w:t> </w:t>
            </w:r>
            <w:r w:rsidRPr="001424C8">
              <w:rPr>
                <w:rStyle w:val="SubtleEmphasis"/>
              </w:rPr>
              <w:t> </w:t>
            </w:r>
            <w:r w:rsidRPr="001424C8">
              <w:rPr>
                <w:rStyle w:val="SubtleEmphasis"/>
              </w:rPr>
              <w:fldChar w:fldCharType="end"/>
            </w:r>
            <w:bookmarkEnd w:id="7"/>
          </w:p>
        </w:tc>
      </w:tr>
      <w:tr w:rsidR="001424C8" w:rsidRPr="006F30C9" w14:paraId="5BC7F355" w14:textId="77777777" w:rsidTr="001424C8">
        <w:tc>
          <w:tcPr>
            <w:tcW w:w="3510" w:type="dxa"/>
            <w:tcBorders>
              <w:top w:val="single" w:sz="2" w:space="0" w:color="auto"/>
            </w:tcBorders>
          </w:tcPr>
          <w:p w14:paraId="5BC7F350" w14:textId="77777777" w:rsidR="001424C8" w:rsidRPr="006F30C9" w:rsidRDefault="001424C8" w:rsidP="001424C8">
            <w:pPr>
              <w:rPr>
                <w:rStyle w:val="Strong"/>
              </w:rPr>
            </w:pPr>
            <w:r w:rsidRPr="006F30C9">
              <w:rPr>
                <w:rStyle w:val="Strong"/>
              </w:rPr>
              <w:t xml:space="preserve">Notandanafn í Netbanka Arion banka hf. </w:t>
            </w:r>
          </w:p>
        </w:tc>
        <w:tc>
          <w:tcPr>
            <w:tcW w:w="426" w:type="dxa"/>
          </w:tcPr>
          <w:p w14:paraId="5BC7F351" w14:textId="77777777" w:rsidR="001424C8" w:rsidRPr="006F30C9" w:rsidRDefault="001424C8" w:rsidP="001424C8">
            <w:pPr>
              <w:rPr>
                <w:rStyle w:val="Strong"/>
              </w:rPr>
            </w:pPr>
          </w:p>
        </w:tc>
        <w:tc>
          <w:tcPr>
            <w:tcW w:w="3827" w:type="dxa"/>
            <w:gridSpan w:val="3"/>
            <w:tcBorders>
              <w:top w:val="single" w:sz="2" w:space="0" w:color="auto"/>
            </w:tcBorders>
          </w:tcPr>
          <w:p w14:paraId="5BC7F352" w14:textId="77777777" w:rsidR="001424C8" w:rsidRPr="006F30C9" w:rsidRDefault="001424C8" w:rsidP="001424C8">
            <w:pPr>
              <w:rPr>
                <w:rStyle w:val="Strong"/>
              </w:rPr>
            </w:pPr>
            <w:r w:rsidRPr="006F30C9">
              <w:rPr>
                <w:rStyle w:val="Strong"/>
              </w:rPr>
              <w:t xml:space="preserve">Netfang </w:t>
            </w:r>
          </w:p>
        </w:tc>
        <w:tc>
          <w:tcPr>
            <w:tcW w:w="288" w:type="dxa"/>
          </w:tcPr>
          <w:p w14:paraId="5BC7F353" w14:textId="77777777" w:rsidR="001424C8" w:rsidRPr="006F30C9" w:rsidRDefault="001424C8" w:rsidP="001424C8">
            <w:pPr>
              <w:rPr>
                <w:rStyle w:val="Strong"/>
              </w:rPr>
            </w:pPr>
          </w:p>
        </w:tc>
        <w:tc>
          <w:tcPr>
            <w:tcW w:w="1727" w:type="dxa"/>
            <w:tcBorders>
              <w:top w:val="single" w:sz="2" w:space="0" w:color="auto"/>
            </w:tcBorders>
          </w:tcPr>
          <w:p w14:paraId="5BC7F354" w14:textId="77777777" w:rsidR="001424C8" w:rsidRPr="006F30C9" w:rsidRDefault="001424C8" w:rsidP="001424C8">
            <w:pPr>
              <w:rPr>
                <w:rStyle w:val="Strong"/>
              </w:rPr>
            </w:pPr>
            <w:r w:rsidRPr="006F30C9">
              <w:rPr>
                <w:rStyle w:val="Strong"/>
              </w:rPr>
              <w:t>Sími</w:t>
            </w:r>
          </w:p>
        </w:tc>
      </w:tr>
      <w:bookmarkStart w:id="8" w:name="Text87"/>
      <w:tr w:rsidR="001424C8" w:rsidRPr="001424C8" w14:paraId="5BC7F35B" w14:textId="77777777" w:rsidTr="001424C8">
        <w:tc>
          <w:tcPr>
            <w:tcW w:w="3510" w:type="dxa"/>
            <w:tcBorders>
              <w:bottom w:val="single" w:sz="2" w:space="0" w:color="auto"/>
            </w:tcBorders>
          </w:tcPr>
          <w:p w14:paraId="5BC7F356" w14:textId="77777777" w:rsidR="001424C8" w:rsidRPr="001424C8" w:rsidRDefault="001424C8" w:rsidP="001424C8">
            <w:pPr>
              <w:rPr>
                <w:rStyle w:val="SubtleEmphasis"/>
              </w:rPr>
            </w:pPr>
            <w:r w:rsidRPr="001424C8">
              <w:rPr>
                <w:rStyle w:val="SubtleEmphasis"/>
              </w:rPr>
              <w:fldChar w:fldCharType="begin">
                <w:ffData>
                  <w:name w:val="Text87"/>
                  <w:enabled/>
                  <w:calcOnExit w:val="0"/>
                  <w:textInput>
                    <w:maxLength w:val="50"/>
                  </w:textInput>
                </w:ffData>
              </w:fldChar>
            </w:r>
            <w:r w:rsidRPr="001424C8">
              <w:rPr>
                <w:rStyle w:val="SubtleEmphasis"/>
              </w:rPr>
              <w:instrText xml:space="preserve"> FORMTEXT </w:instrText>
            </w:r>
            <w:r w:rsidRPr="001424C8">
              <w:rPr>
                <w:rStyle w:val="SubtleEmphasis"/>
              </w:rPr>
            </w:r>
            <w:r w:rsidRPr="001424C8">
              <w:rPr>
                <w:rStyle w:val="SubtleEmphasis"/>
              </w:rPr>
              <w:fldChar w:fldCharType="separate"/>
            </w:r>
            <w:r w:rsidRPr="001424C8">
              <w:rPr>
                <w:rStyle w:val="SubtleEmphasis"/>
              </w:rPr>
              <w:t> </w:t>
            </w:r>
            <w:r w:rsidRPr="001424C8">
              <w:rPr>
                <w:rStyle w:val="SubtleEmphasis"/>
              </w:rPr>
              <w:t> </w:t>
            </w:r>
            <w:r w:rsidRPr="001424C8">
              <w:rPr>
                <w:rStyle w:val="SubtleEmphasis"/>
              </w:rPr>
              <w:t> </w:t>
            </w:r>
            <w:r w:rsidRPr="001424C8">
              <w:rPr>
                <w:rStyle w:val="SubtleEmphasis"/>
              </w:rPr>
              <w:t> </w:t>
            </w:r>
            <w:r w:rsidRPr="001424C8">
              <w:rPr>
                <w:rStyle w:val="SubtleEmphasis"/>
              </w:rPr>
              <w:t> </w:t>
            </w:r>
            <w:r w:rsidRPr="001424C8">
              <w:rPr>
                <w:rStyle w:val="SubtleEmphasis"/>
              </w:rPr>
              <w:fldChar w:fldCharType="end"/>
            </w:r>
            <w:bookmarkEnd w:id="8"/>
          </w:p>
        </w:tc>
        <w:tc>
          <w:tcPr>
            <w:tcW w:w="426" w:type="dxa"/>
          </w:tcPr>
          <w:p w14:paraId="5BC7F357" w14:textId="77777777" w:rsidR="001424C8" w:rsidRPr="001424C8" w:rsidRDefault="001424C8" w:rsidP="001424C8">
            <w:pPr>
              <w:rPr>
                <w:rStyle w:val="SubtleEmphasis"/>
              </w:rPr>
            </w:pPr>
          </w:p>
        </w:tc>
        <w:bookmarkStart w:id="9" w:name="Text88"/>
        <w:tc>
          <w:tcPr>
            <w:tcW w:w="3827" w:type="dxa"/>
            <w:gridSpan w:val="3"/>
            <w:tcBorders>
              <w:bottom w:val="single" w:sz="2" w:space="0" w:color="auto"/>
            </w:tcBorders>
          </w:tcPr>
          <w:p w14:paraId="5BC7F358" w14:textId="77777777" w:rsidR="001424C8" w:rsidRPr="001424C8" w:rsidRDefault="001424C8" w:rsidP="001424C8">
            <w:pPr>
              <w:rPr>
                <w:rStyle w:val="SubtleEmphasis"/>
              </w:rPr>
            </w:pPr>
            <w:r w:rsidRPr="001424C8">
              <w:rPr>
                <w:rStyle w:val="SubtleEmphasis"/>
              </w:rPr>
              <w:fldChar w:fldCharType="begin">
                <w:ffData>
                  <w:name w:val="Text88"/>
                  <w:enabled/>
                  <w:calcOnExit w:val="0"/>
                  <w:textInput>
                    <w:maxLength w:val="50"/>
                  </w:textInput>
                </w:ffData>
              </w:fldChar>
            </w:r>
            <w:r w:rsidRPr="001424C8">
              <w:rPr>
                <w:rStyle w:val="SubtleEmphasis"/>
              </w:rPr>
              <w:instrText xml:space="preserve"> FORMTEXT </w:instrText>
            </w:r>
            <w:r w:rsidRPr="001424C8">
              <w:rPr>
                <w:rStyle w:val="SubtleEmphasis"/>
              </w:rPr>
            </w:r>
            <w:r w:rsidRPr="001424C8">
              <w:rPr>
                <w:rStyle w:val="SubtleEmphasis"/>
              </w:rPr>
              <w:fldChar w:fldCharType="separate"/>
            </w:r>
            <w:r w:rsidRPr="001424C8">
              <w:rPr>
                <w:rStyle w:val="SubtleEmphasis"/>
              </w:rPr>
              <w:t> </w:t>
            </w:r>
            <w:r w:rsidRPr="001424C8">
              <w:rPr>
                <w:rStyle w:val="SubtleEmphasis"/>
              </w:rPr>
              <w:t> </w:t>
            </w:r>
            <w:r w:rsidRPr="001424C8">
              <w:rPr>
                <w:rStyle w:val="SubtleEmphasis"/>
              </w:rPr>
              <w:t> </w:t>
            </w:r>
            <w:r w:rsidRPr="001424C8">
              <w:rPr>
                <w:rStyle w:val="SubtleEmphasis"/>
              </w:rPr>
              <w:t> </w:t>
            </w:r>
            <w:r w:rsidRPr="001424C8">
              <w:rPr>
                <w:rStyle w:val="SubtleEmphasis"/>
              </w:rPr>
              <w:t> </w:t>
            </w:r>
            <w:r w:rsidRPr="001424C8">
              <w:rPr>
                <w:rStyle w:val="SubtleEmphasis"/>
              </w:rPr>
              <w:fldChar w:fldCharType="end"/>
            </w:r>
            <w:bookmarkEnd w:id="9"/>
          </w:p>
        </w:tc>
        <w:tc>
          <w:tcPr>
            <w:tcW w:w="288" w:type="dxa"/>
          </w:tcPr>
          <w:p w14:paraId="5BC7F359" w14:textId="77777777" w:rsidR="001424C8" w:rsidRPr="001424C8" w:rsidRDefault="001424C8" w:rsidP="001424C8">
            <w:pPr>
              <w:rPr>
                <w:rStyle w:val="SubtleEmphasis"/>
              </w:rPr>
            </w:pPr>
          </w:p>
        </w:tc>
        <w:bookmarkStart w:id="10" w:name="Text89"/>
        <w:tc>
          <w:tcPr>
            <w:tcW w:w="1727" w:type="dxa"/>
            <w:tcBorders>
              <w:bottom w:val="single" w:sz="2" w:space="0" w:color="auto"/>
            </w:tcBorders>
          </w:tcPr>
          <w:p w14:paraId="5BC7F35A" w14:textId="77777777" w:rsidR="001424C8" w:rsidRPr="001424C8" w:rsidRDefault="001424C8" w:rsidP="001424C8">
            <w:pPr>
              <w:rPr>
                <w:rStyle w:val="SubtleEmphasis"/>
              </w:rPr>
            </w:pPr>
            <w:r w:rsidRPr="001424C8">
              <w:rPr>
                <w:rStyle w:val="SubtleEmphasis"/>
              </w:rPr>
              <w:fldChar w:fldCharType="begin">
                <w:ffData>
                  <w:name w:val="Text89"/>
                  <w:enabled/>
                  <w:calcOnExit w:val="0"/>
                  <w:textInput>
                    <w:maxLength w:val="8"/>
                  </w:textInput>
                </w:ffData>
              </w:fldChar>
            </w:r>
            <w:r w:rsidRPr="001424C8">
              <w:rPr>
                <w:rStyle w:val="SubtleEmphasis"/>
              </w:rPr>
              <w:instrText xml:space="preserve"> FORMTEXT </w:instrText>
            </w:r>
            <w:r w:rsidRPr="001424C8">
              <w:rPr>
                <w:rStyle w:val="SubtleEmphasis"/>
              </w:rPr>
            </w:r>
            <w:r w:rsidRPr="001424C8">
              <w:rPr>
                <w:rStyle w:val="SubtleEmphasis"/>
              </w:rPr>
              <w:fldChar w:fldCharType="separate"/>
            </w:r>
            <w:r w:rsidRPr="001424C8">
              <w:rPr>
                <w:rStyle w:val="SubtleEmphasis"/>
              </w:rPr>
              <w:t> </w:t>
            </w:r>
            <w:r w:rsidRPr="001424C8">
              <w:rPr>
                <w:rStyle w:val="SubtleEmphasis"/>
              </w:rPr>
              <w:t> </w:t>
            </w:r>
            <w:r w:rsidRPr="001424C8">
              <w:rPr>
                <w:rStyle w:val="SubtleEmphasis"/>
              </w:rPr>
              <w:t> </w:t>
            </w:r>
            <w:r w:rsidRPr="001424C8">
              <w:rPr>
                <w:rStyle w:val="SubtleEmphasis"/>
              </w:rPr>
              <w:t> </w:t>
            </w:r>
            <w:r w:rsidRPr="001424C8">
              <w:rPr>
                <w:rStyle w:val="SubtleEmphasis"/>
              </w:rPr>
              <w:t> </w:t>
            </w:r>
            <w:r w:rsidRPr="001424C8">
              <w:rPr>
                <w:rStyle w:val="SubtleEmphasis"/>
              </w:rPr>
              <w:fldChar w:fldCharType="end"/>
            </w:r>
            <w:bookmarkEnd w:id="10"/>
          </w:p>
        </w:tc>
      </w:tr>
      <w:tr w:rsidR="001424C8" w:rsidRPr="006F30C9" w14:paraId="5BC7F361" w14:textId="77777777" w:rsidTr="001424C8">
        <w:tc>
          <w:tcPr>
            <w:tcW w:w="3510" w:type="dxa"/>
            <w:tcBorders>
              <w:top w:val="single" w:sz="2" w:space="0" w:color="auto"/>
            </w:tcBorders>
          </w:tcPr>
          <w:p w14:paraId="5BC7F35C" w14:textId="77777777" w:rsidR="001424C8" w:rsidRPr="006F30C9" w:rsidRDefault="001424C8" w:rsidP="001424C8">
            <w:pPr>
              <w:rPr>
                <w:rStyle w:val="Strong"/>
              </w:rPr>
            </w:pPr>
            <w:r w:rsidRPr="006F30C9">
              <w:rPr>
                <w:rStyle w:val="Strong"/>
              </w:rPr>
              <w:t xml:space="preserve">Notandanafn í Netbanka Arion banka hf. </w:t>
            </w:r>
          </w:p>
        </w:tc>
        <w:tc>
          <w:tcPr>
            <w:tcW w:w="426" w:type="dxa"/>
          </w:tcPr>
          <w:p w14:paraId="5BC7F35D" w14:textId="77777777" w:rsidR="001424C8" w:rsidRPr="006F30C9" w:rsidRDefault="001424C8" w:rsidP="001424C8">
            <w:pPr>
              <w:rPr>
                <w:rStyle w:val="Strong"/>
              </w:rPr>
            </w:pPr>
          </w:p>
        </w:tc>
        <w:tc>
          <w:tcPr>
            <w:tcW w:w="3827" w:type="dxa"/>
            <w:gridSpan w:val="3"/>
            <w:tcBorders>
              <w:top w:val="single" w:sz="2" w:space="0" w:color="auto"/>
            </w:tcBorders>
          </w:tcPr>
          <w:p w14:paraId="5BC7F35E" w14:textId="77777777" w:rsidR="001424C8" w:rsidRPr="006F30C9" w:rsidRDefault="001424C8" w:rsidP="001424C8">
            <w:pPr>
              <w:rPr>
                <w:rStyle w:val="Strong"/>
              </w:rPr>
            </w:pPr>
            <w:r w:rsidRPr="006F30C9">
              <w:rPr>
                <w:rStyle w:val="Strong"/>
              </w:rPr>
              <w:t xml:space="preserve">Netfang </w:t>
            </w:r>
          </w:p>
        </w:tc>
        <w:tc>
          <w:tcPr>
            <w:tcW w:w="288" w:type="dxa"/>
          </w:tcPr>
          <w:p w14:paraId="5BC7F35F" w14:textId="77777777" w:rsidR="001424C8" w:rsidRPr="006F30C9" w:rsidRDefault="001424C8" w:rsidP="001424C8">
            <w:pPr>
              <w:rPr>
                <w:rStyle w:val="Strong"/>
              </w:rPr>
            </w:pPr>
          </w:p>
        </w:tc>
        <w:tc>
          <w:tcPr>
            <w:tcW w:w="1727" w:type="dxa"/>
            <w:tcBorders>
              <w:top w:val="single" w:sz="2" w:space="0" w:color="auto"/>
            </w:tcBorders>
          </w:tcPr>
          <w:p w14:paraId="5BC7F360" w14:textId="77777777" w:rsidR="001424C8" w:rsidRPr="006F30C9" w:rsidRDefault="001424C8" w:rsidP="001424C8">
            <w:pPr>
              <w:rPr>
                <w:rStyle w:val="Strong"/>
              </w:rPr>
            </w:pPr>
            <w:r w:rsidRPr="006F30C9">
              <w:rPr>
                <w:rStyle w:val="Strong"/>
              </w:rPr>
              <w:t>Sími</w:t>
            </w:r>
          </w:p>
        </w:tc>
      </w:tr>
    </w:tbl>
    <w:p w14:paraId="5BC7F362" w14:textId="77777777" w:rsidR="001424C8" w:rsidRPr="00FE7C08" w:rsidRDefault="001424C8" w:rsidP="001424C8">
      <w:pPr>
        <w:rPr>
          <w:rFonts w:ascii="Verdana" w:hAnsi="Verdana" w:cs="Arial"/>
          <w:sz w:val="10"/>
          <w:szCs w:val="10"/>
        </w:rPr>
      </w:pPr>
    </w:p>
    <w:p w14:paraId="5BC7F363" w14:textId="77777777" w:rsidR="001424C8" w:rsidRPr="001424C8" w:rsidRDefault="001424C8" w:rsidP="001424C8">
      <w:pPr>
        <w:rPr>
          <w:rStyle w:val="SubtleEmphasis"/>
        </w:rPr>
      </w:pPr>
      <w:r w:rsidRPr="001424C8">
        <w:rPr>
          <w:rStyle w:val="SubtleEmphasis"/>
        </w:rPr>
        <w:t>Greitt er fyrir þjónustuna, skv. verðskrá Arion banka hf. hverju sinni og má bankinn annast skuldfærslu 15. hvers mánaðar af þeim reikningi sem skráður er á auðkennið.</w:t>
      </w:r>
    </w:p>
    <w:p w14:paraId="5BC7F364" w14:textId="77777777" w:rsidR="001424C8" w:rsidRPr="001424C8" w:rsidRDefault="001424C8" w:rsidP="001424C8">
      <w:pPr>
        <w:rPr>
          <w:rStyle w:val="SubtleEmphasis"/>
        </w:rPr>
      </w:pPr>
    </w:p>
    <w:p w14:paraId="7C10B18F" w14:textId="3D8E68B8" w:rsidR="00F7285C" w:rsidRDefault="00F7285C" w:rsidP="00654A69">
      <w:pPr>
        <w:jc w:val="both"/>
        <w:rPr>
          <w:rStyle w:val="SubtleEmphasis"/>
        </w:rPr>
      </w:pPr>
      <w:bookmarkStart w:id="11" w:name="_Hlk96411014"/>
      <w:r w:rsidRPr="001424C8">
        <w:rPr>
          <w:rStyle w:val="SubtleEmphasis"/>
        </w:rPr>
        <w:t xml:space="preserve">Ofangreindur </w:t>
      </w:r>
      <w:r w:rsidR="00AF46EA">
        <w:rPr>
          <w:rStyle w:val="SubtleEmphasis"/>
        </w:rPr>
        <w:t>kröfuhafi</w:t>
      </w:r>
      <w:r>
        <w:rPr>
          <w:rStyle w:val="SubtleEmphasis"/>
        </w:rPr>
        <w:t xml:space="preserve"> </w:t>
      </w:r>
      <w:r w:rsidRPr="001424C8">
        <w:rPr>
          <w:rStyle w:val="SubtleEmphasis"/>
        </w:rPr>
        <w:t>óskar eftir því að innheimtuauðkenni</w:t>
      </w:r>
      <w:r>
        <w:rPr>
          <w:rStyle w:val="SubtleEmphasis"/>
        </w:rPr>
        <w:t>, innheimtuaðferðir, greiðslur, skuldfærslu- og ráðstöfunarreikningar</w:t>
      </w:r>
      <w:r w:rsidRPr="001424C8">
        <w:rPr>
          <w:rStyle w:val="SubtleEmphasis"/>
        </w:rPr>
        <w:t xml:space="preserve"> verði skráð </w:t>
      </w:r>
      <w:r>
        <w:rPr>
          <w:rStyle w:val="SubtleEmphasis"/>
        </w:rPr>
        <w:t xml:space="preserve">í innheimtukerfi bankans, í samræmi við efni samnings ofangreinds innheimtufyrirtækis við </w:t>
      </w:r>
      <w:r w:rsidR="00AF46EA">
        <w:rPr>
          <w:rStyle w:val="SubtleEmphasis"/>
        </w:rPr>
        <w:t>kröfuhafa</w:t>
      </w:r>
      <w:r>
        <w:rPr>
          <w:rStyle w:val="SubtleEmphasis"/>
        </w:rPr>
        <w:t xml:space="preserve"> þar um.</w:t>
      </w:r>
    </w:p>
    <w:p w14:paraId="5BC7F366" w14:textId="1D887280" w:rsidR="001424C8" w:rsidRDefault="001424C8" w:rsidP="001424C8">
      <w:pPr>
        <w:rPr>
          <w:rStyle w:val="SubtleEmphasis"/>
        </w:rPr>
      </w:pPr>
    </w:p>
    <w:p w14:paraId="169D68D3" w14:textId="2FCB35B4" w:rsidR="00F7285C" w:rsidRDefault="00F7285C" w:rsidP="001424C8">
      <w:pPr>
        <w:rPr>
          <w:rStyle w:val="SubtleEmphasis"/>
        </w:rPr>
      </w:pPr>
    </w:p>
    <w:p w14:paraId="776DA58C" w14:textId="77777777" w:rsidR="00F7285C" w:rsidRPr="00D1561E" w:rsidRDefault="00F7285C" w:rsidP="00F7285C">
      <w:pPr>
        <w:pStyle w:val="Title"/>
        <w:rPr>
          <w:color w:val="auto"/>
          <w:sz w:val="20"/>
          <w:szCs w:val="20"/>
        </w:rPr>
      </w:pPr>
      <w:r w:rsidRPr="00D1561E">
        <w:rPr>
          <w:color w:val="auto"/>
          <w:sz w:val="20"/>
          <w:szCs w:val="20"/>
        </w:rPr>
        <w:t>NOTKUNARREGLUR OG SKILMÁLAR</w:t>
      </w:r>
    </w:p>
    <w:bookmarkEnd w:id="11"/>
    <w:p w14:paraId="4E5D6A6C" w14:textId="77777777" w:rsidR="009C659E" w:rsidRPr="001424C8" w:rsidRDefault="009C659E" w:rsidP="009C659E">
      <w:pPr>
        <w:numPr>
          <w:ilvl w:val="0"/>
          <w:numId w:val="1"/>
        </w:numPr>
        <w:tabs>
          <w:tab w:val="clear" w:pos="360"/>
          <w:tab w:val="num" w:pos="-360"/>
          <w:tab w:val="num" w:pos="284"/>
        </w:tabs>
        <w:ind w:left="284" w:hanging="284"/>
        <w:jc w:val="both"/>
        <w:rPr>
          <w:rStyle w:val="SubtleEmphasis"/>
        </w:rPr>
      </w:pPr>
      <w:r w:rsidRPr="001424C8">
        <w:rPr>
          <w:rStyle w:val="SubtleEmphasis"/>
        </w:rPr>
        <w:t xml:space="preserve">Arion banki hf. skal </w:t>
      </w:r>
      <w:r>
        <w:rPr>
          <w:rStyle w:val="SubtleEmphasis"/>
        </w:rPr>
        <w:t>veita</w:t>
      </w:r>
      <w:r w:rsidRPr="001424C8">
        <w:rPr>
          <w:rStyle w:val="SubtleEmphasis"/>
        </w:rPr>
        <w:t xml:space="preserve"> innheimtufyrirtæki</w:t>
      </w:r>
      <w:r>
        <w:rPr>
          <w:rStyle w:val="SubtleEmphasis"/>
        </w:rPr>
        <w:t xml:space="preserve"> aðgang</w:t>
      </w:r>
      <w:r w:rsidRPr="001424C8">
        <w:rPr>
          <w:rStyle w:val="SubtleEmphasis"/>
        </w:rPr>
        <w:t xml:space="preserve"> að Netbanka Arion banka hf. fyrir </w:t>
      </w:r>
      <w:r>
        <w:rPr>
          <w:rStyle w:val="SubtleEmphasis"/>
        </w:rPr>
        <w:t>kröfuhafa</w:t>
      </w:r>
      <w:r w:rsidRPr="001424C8">
        <w:rPr>
          <w:rStyle w:val="SubtleEmphasis"/>
        </w:rPr>
        <w:t xml:space="preserve">. Innheimtufyrirtæki hefur því fullt ótakmarkað umboð að innheimtukröfum í gegnum netbanka kröfuhafa. </w:t>
      </w:r>
    </w:p>
    <w:p w14:paraId="70C89676" w14:textId="77777777" w:rsidR="009C659E" w:rsidRPr="0031674B" w:rsidRDefault="009C659E" w:rsidP="009C659E">
      <w:pPr>
        <w:numPr>
          <w:ilvl w:val="0"/>
          <w:numId w:val="1"/>
        </w:numPr>
        <w:tabs>
          <w:tab w:val="clear" w:pos="360"/>
          <w:tab w:val="num" w:pos="-360"/>
          <w:tab w:val="num" w:pos="284"/>
        </w:tabs>
        <w:ind w:left="284" w:hanging="284"/>
        <w:jc w:val="both"/>
        <w:rPr>
          <w:rStyle w:val="SubtleEmphasis"/>
        </w:rPr>
      </w:pPr>
      <w:r w:rsidRPr="0031674B">
        <w:rPr>
          <w:rStyle w:val="SubtleEmphasis"/>
        </w:rPr>
        <w:t xml:space="preserve">Hafi kröfuhafi, við undirritun skilmála þessara, ekki áður stofnað bankareikning hjá bankanum, þá skal hann sé hann lögaðili, leggja fram vottorð frá Hagstofu Íslands, dómsmálaráðuneyti eða sýslumanni um nafn (firma), kennitölu, lögheimili og starfsemi og hverjir hafi heimild til að skuldbinda lögaðilann gagnvart bankanum. Prókúruhafar lögaðila skulu sanna á sér deili með framvísun persónuskilríkja. Skylda þessi er tilkomin vegna laga nr. </w:t>
      </w:r>
      <w:r>
        <w:rPr>
          <w:rStyle w:val="SubtleEmphasis"/>
        </w:rPr>
        <w:t>140</w:t>
      </w:r>
      <w:r w:rsidRPr="0031674B">
        <w:rPr>
          <w:rStyle w:val="SubtleEmphasis"/>
        </w:rPr>
        <w:t>/</w:t>
      </w:r>
      <w:r>
        <w:rPr>
          <w:rStyle w:val="SubtleEmphasis"/>
        </w:rPr>
        <w:t>2018</w:t>
      </w:r>
      <w:r w:rsidRPr="0031674B">
        <w:rPr>
          <w:rStyle w:val="SubtleEmphasis"/>
        </w:rPr>
        <w:t xml:space="preserve"> um aðgerðir gegn peningaþvætti og fjármögnun hryðjuverka. Lögaðili getur veitt aðgang að reikningum sínum í gegnum Netbanka Arion banka hf. </w:t>
      </w:r>
    </w:p>
    <w:p w14:paraId="5A4115EA" w14:textId="77777777" w:rsidR="009C659E" w:rsidRPr="001424C8" w:rsidRDefault="009C659E" w:rsidP="009C659E">
      <w:pPr>
        <w:numPr>
          <w:ilvl w:val="0"/>
          <w:numId w:val="1"/>
        </w:numPr>
        <w:tabs>
          <w:tab w:val="clear" w:pos="360"/>
          <w:tab w:val="num" w:pos="-360"/>
          <w:tab w:val="num" w:pos="284"/>
        </w:tabs>
        <w:ind w:left="284" w:hanging="284"/>
        <w:jc w:val="both"/>
        <w:rPr>
          <w:rStyle w:val="SubtleEmphasis"/>
        </w:rPr>
      </w:pPr>
      <w:r>
        <w:rPr>
          <w:rStyle w:val="SubtleEmphasis"/>
        </w:rPr>
        <w:t>Kröfuhafi</w:t>
      </w:r>
      <w:r w:rsidRPr="001424C8">
        <w:rPr>
          <w:rStyle w:val="SubtleEmphasis"/>
        </w:rPr>
        <w:t xml:space="preserve"> ber fulla ábyrgð á því að notanda er falin full heimild til að ákveða hvort og þá hvaða starfsmönnum notanda er veitt</w:t>
      </w:r>
      <w:r>
        <w:rPr>
          <w:rStyle w:val="SubtleEmphasis"/>
        </w:rPr>
        <w:t>ur aðgangur að netbanka kröfuhafans.</w:t>
      </w:r>
      <w:r w:rsidRPr="001424C8">
        <w:rPr>
          <w:rStyle w:val="SubtleEmphasis"/>
        </w:rPr>
        <w:t xml:space="preserve"> </w:t>
      </w:r>
      <w:r>
        <w:rPr>
          <w:rStyle w:val="SubtleEmphasis"/>
        </w:rPr>
        <w:t>Kröfuhafi</w:t>
      </w:r>
      <w:r w:rsidRPr="001424C8">
        <w:rPr>
          <w:rStyle w:val="SubtleEmphasis"/>
        </w:rPr>
        <w:t xml:space="preserve"> ber fulla ábyrgð á öllum aðgerðum notanda og starfsmanna sem notandi veitir aðgang að netbanka og sem framkvæmdar eru með notandanöfnum og lykilorðum </w:t>
      </w:r>
      <w:r>
        <w:rPr>
          <w:rStyle w:val="SubtleEmphasis"/>
        </w:rPr>
        <w:t>notanda</w:t>
      </w:r>
      <w:r w:rsidRPr="001424C8">
        <w:rPr>
          <w:rStyle w:val="SubtleEmphasis"/>
        </w:rPr>
        <w:t xml:space="preserve">. Forsvarsmönnum notanda ber að tilkynna bankanum þegar í stað ef starfsmaður notanda sem aðgang hafði að netbanka hættir störfum. Þá skulu forsvarsmenn notanda ætíð sjá til þess að skipt verði um viðkomandi notandanafn og lykilorð. Sama gildir ef </w:t>
      </w:r>
      <w:r>
        <w:rPr>
          <w:rStyle w:val="SubtleEmphasis"/>
        </w:rPr>
        <w:t>kröfuhafi</w:t>
      </w:r>
      <w:r w:rsidRPr="001424C8">
        <w:rPr>
          <w:rStyle w:val="SubtleEmphasis"/>
        </w:rPr>
        <w:t xml:space="preserve"> ákveður að hætta að heimila viðkomandi notanda aðgang að netbanka. </w:t>
      </w:r>
    </w:p>
    <w:p w14:paraId="0DF2A553" w14:textId="77777777" w:rsidR="009C659E" w:rsidRPr="001424C8" w:rsidRDefault="009C659E" w:rsidP="009C659E">
      <w:pPr>
        <w:numPr>
          <w:ilvl w:val="0"/>
          <w:numId w:val="1"/>
        </w:numPr>
        <w:tabs>
          <w:tab w:val="num" w:pos="284"/>
        </w:tabs>
        <w:ind w:left="284" w:hanging="284"/>
        <w:jc w:val="both"/>
        <w:rPr>
          <w:rStyle w:val="SubtleEmphasis"/>
        </w:rPr>
      </w:pPr>
      <w:r w:rsidRPr="001424C8">
        <w:rPr>
          <w:rStyle w:val="SubtleEmphasis"/>
        </w:rPr>
        <w:t xml:space="preserve">Undirskrift </w:t>
      </w:r>
      <w:r>
        <w:rPr>
          <w:rStyle w:val="SubtleEmphasis"/>
        </w:rPr>
        <w:t>kröfuhafa</w:t>
      </w:r>
      <w:r w:rsidRPr="001424C8">
        <w:rPr>
          <w:rStyle w:val="SubtleEmphasis"/>
        </w:rPr>
        <w:t xml:space="preserve"> á samning þennan jafngildir undirskrift fyrir þær færslur sem notandi gerir í netbanka, enda eru færslurnar tryggðar með lykilorði. Sama gildir um færslur sem gerðar eru af starfsmanni innheimtufyrirtækis og </w:t>
      </w:r>
      <w:r>
        <w:rPr>
          <w:rStyle w:val="SubtleEmphasis"/>
        </w:rPr>
        <w:t>kröfuhafi</w:t>
      </w:r>
      <w:r w:rsidRPr="001424C8">
        <w:rPr>
          <w:rStyle w:val="SubtleEmphasis"/>
        </w:rPr>
        <w:t xml:space="preserve"> hefur veitt viðkomandi aðgang að netbanka á notandanafni og lykilorði notanda. </w:t>
      </w:r>
    </w:p>
    <w:p w14:paraId="30BD2989" w14:textId="77777777" w:rsidR="009C659E" w:rsidRPr="001424C8" w:rsidRDefault="009C659E" w:rsidP="009C659E">
      <w:pPr>
        <w:numPr>
          <w:ilvl w:val="0"/>
          <w:numId w:val="1"/>
        </w:numPr>
        <w:tabs>
          <w:tab w:val="clear" w:pos="360"/>
          <w:tab w:val="num" w:pos="-360"/>
          <w:tab w:val="num" w:pos="284"/>
        </w:tabs>
        <w:ind w:left="284" w:hanging="284"/>
        <w:jc w:val="both"/>
        <w:rPr>
          <w:rStyle w:val="SubtleEmphasis"/>
        </w:rPr>
      </w:pPr>
      <w:r w:rsidRPr="001424C8">
        <w:rPr>
          <w:rStyle w:val="SubtleEmphasis"/>
        </w:rPr>
        <w:t>Notandi skal gæta þess að halda notandanöfnum sínum og lykilorðum leyndum frá óviðkomandi og er honum, óheimilt að veita óviðkomandi aðgang að netbanka með notandanöfnum og lykilorðum sínum. Notandi er ábyrgur fyrir því að tryggja leynd notandanafns og lykilorðs.</w:t>
      </w:r>
    </w:p>
    <w:p w14:paraId="63EF3214" w14:textId="77777777" w:rsidR="009C659E" w:rsidRPr="001424C8" w:rsidRDefault="009C659E" w:rsidP="009C659E">
      <w:pPr>
        <w:numPr>
          <w:ilvl w:val="0"/>
          <w:numId w:val="1"/>
        </w:numPr>
        <w:tabs>
          <w:tab w:val="clear" w:pos="360"/>
          <w:tab w:val="num" w:pos="-360"/>
          <w:tab w:val="num" w:pos="284"/>
        </w:tabs>
        <w:ind w:left="284" w:hanging="284"/>
        <w:jc w:val="both"/>
        <w:rPr>
          <w:rStyle w:val="SubtleEmphasis"/>
        </w:rPr>
      </w:pPr>
      <w:r w:rsidRPr="001424C8">
        <w:rPr>
          <w:rStyle w:val="SubtleEmphasis"/>
        </w:rPr>
        <w:t xml:space="preserve">Notandi leggur til þann vél- og hugbúnað sem nauðsynlegur er til móttöku á þjónustu netbanka. Búnaðurinn skal uppfylla kröfur bankans hverju sinni og er notandi ábyrgur fyrir notkun á honum. </w:t>
      </w:r>
      <w:r>
        <w:rPr>
          <w:rStyle w:val="SubtleEmphasis"/>
        </w:rPr>
        <w:t>Kröfuhafa</w:t>
      </w:r>
      <w:r w:rsidRPr="001424C8">
        <w:rPr>
          <w:rStyle w:val="SubtleEmphasis"/>
        </w:rPr>
        <w:t xml:space="preserve"> og notanda er með öllu óheimilt að dreifa til annarra aðila aðgangi að hugbúnaði í tengslum við netbanka, upplýsingum úr honum svo og leiðbeiningum um notkun kerfisins.</w:t>
      </w:r>
    </w:p>
    <w:p w14:paraId="6A6103C7" w14:textId="77777777" w:rsidR="009C659E" w:rsidRPr="001424C8" w:rsidRDefault="009C659E" w:rsidP="009C659E">
      <w:pPr>
        <w:numPr>
          <w:ilvl w:val="0"/>
          <w:numId w:val="1"/>
        </w:numPr>
        <w:tabs>
          <w:tab w:val="clear" w:pos="360"/>
          <w:tab w:val="num" w:pos="-360"/>
          <w:tab w:val="num" w:pos="284"/>
        </w:tabs>
        <w:ind w:left="284" w:hanging="284"/>
        <w:jc w:val="both"/>
        <w:rPr>
          <w:rStyle w:val="SubtleEmphasis"/>
        </w:rPr>
      </w:pPr>
      <w:r w:rsidRPr="001424C8">
        <w:rPr>
          <w:rStyle w:val="SubtleEmphasis"/>
        </w:rPr>
        <w:t xml:space="preserve">Arion banki hf. áskilur sér allan rétt til að: a)  ákvarða einhliða þá þjónustu sem netbanki veitir á hverjum tíma og auka hana eða minnka,  b) rjúfa aðgang að upplýsingum um stundarsakir fyrirvaralaust og án tilkynningar, ef þörf krefur vegna uppfærslu skráa, breytinga kerfis o.þ.h. </w:t>
      </w:r>
    </w:p>
    <w:p w14:paraId="26DAD352" w14:textId="77777777" w:rsidR="009C659E" w:rsidRPr="001424C8" w:rsidRDefault="009C659E" w:rsidP="009C659E">
      <w:pPr>
        <w:numPr>
          <w:ilvl w:val="0"/>
          <w:numId w:val="1"/>
        </w:numPr>
        <w:tabs>
          <w:tab w:val="clear" w:pos="360"/>
          <w:tab w:val="num" w:pos="-360"/>
          <w:tab w:val="num" w:pos="284"/>
        </w:tabs>
        <w:ind w:left="284" w:hanging="284"/>
        <w:jc w:val="both"/>
        <w:rPr>
          <w:rStyle w:val="SubtleEmphasis"/>
        </w:rPr>
      </w:pPr>
      <w:r w:rsidRPr="001424C8">
        <w:rPr>
          <w:rStyle w:val="SubtleEmphasis"/>
        </w:rPr>
        <w:t>Arion banki hf. verður ekki gerður ábyrgur fyrir eftirfarandi: a) tjóni sem hlotist getur af vanþekkingu, misskilningi eða misnotkun notanda eða annars aðila með eða án hans umboðs á notkunarreglum netbanka, b) tjóni sem hlotist getur af vél- og tölvubúnaði, forriti eða þjónustu netbanka, c)  tjóni sem hlotist getur af röngum færslum notanda eða annars aðila með eða án hans umboðs, d) tjóni sem hlotist getur af galla eða bilun í vél- eða hugbúnaði til móttöku á þjónustu netbanka, e) tjóni sem hlotist getur vegna upplýsinga eða aðgerða þriðja aðila, s.s. Reiknistofu bankanna og Lánstrausts hf.</w:t>
      </w:r>
    </w:p>
    <w:p w14:paraId="21D80612" w14:textId="77777777" w:rsidR="00F7285C" w:rsidRPr="001424C8" w:rsidRDefault="00F7285C" w:rsidP="001424C8">
      <w:pPr>
        <w:rPr>
          <w:rStyle w:val="SubtleEmphasis"/>
        </w:rPr>
      </w:pPr>
    </w:p>
    <w:p w14:paraId="5BC7F381" w14:textId="77777777" w:rsidR="001424C8" w:rsidRPr="001424C8" w:rsidRDefault="001424C8" w:rsidP="001424C8">
      <w:pPr>
        <w:ind w:left="357"/>
        <w:jc w:val="both"/>
        <w:rPr>
          <w:rStyle w:val="SubtleEmphasis"/>
        </w:rPr>
      </w:pPr>
    </w:p>
    <w:tbl>
      <w:tblPr>
        <w:tblW w:w="0" w:type="auto"/>
        <w:jc w:val="right"/>
        <w:tblLook w:val="04A0" w:firstRow="1" w:lastRow="0" w:firstColumn="1" w:lastColumn="0" w:noHBand="0" w:noVBand="1"/>
      </w:tblPr>
      <w:tblGrid>
        <w:gridCol w:w="2303"/>
      </w:tblGrid>
      <w:tr w:rsidR="001424C8" w:rsidRPr="001424C8" w14:paraId="5BC7F383" w14:textId="77777777" w:rsidTr="001424C8">
        <w:trPr>
          <w:jc w:val="right"/>
        </w:trPr>
        <w:tc>
          <w:tcPr>
            <w:tcW w:w="2303" w:type="dxa"/>
            <w:tcBorders>
              <w:top w:val="single" w:sz="2" w:space="0" w:color="auto"/>
            </w:tcBorders>
          </w:tcPr>
          <w:p w14:paraId="5BC7F382" w14:textId="77777777" w:rsidR="001424C8" w:rsidRPr="001424C8" w:rsidRDefault="001424C8" w:rsidP="001424C8">
            <w:pPr>
              <w:rPr>
                <w:rStyle w:val="Strong"/>
              </w:rPr>
            </w:pPr>
            <w:r w:rsidRPr="001424C8">
              <w:rPr>
                <w:rStyle w:val="Strong"/>
              </w:rPr>
              <w:t xml:space="preserve">Upphafsstafir </w:t>
            </w:r>
          </w:p>
        </w:tc>
      </w:tr>
    </w:tbl>
    <w:p w14:paraId="5BC7F384" w14:textId="77777777" w:rsidR="001424C8" w:rsidRDefault="001424C8" w:rsidP="001424C8">
      <w:pPr>
        <w:spacing w:before="120"/>
        <w:rPr>
          <w:rFonts w:ascii="Verdana" w:hAnsi="Verdana" w:cs="Arial"/>
          <w:sz w:val="13"/>
          <w:szCs w:val="13"/>
        </w:rPr>
      </w:pPr>
      <w:r>
        <w:rPr>
          <w:rFonts w:ascii="Verdana" w:hAnsi="Verdana" w:cs="Arial"/>
          <w:sz w:val="13"/>
          <w:szCs w:val="13"/>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D1561E" w:rsidRPr="00D1561E" w14:paraId="5BDD6181" w14:textId="77777777" w:rsidTr="00165C98">
        <w:tc>
          <w:tcPr>
            <w:tcW w:w="3835" w:type="pct"/>
          </w:tcPr>
          <w:p w14:paraId="2D5F766A" w14:textId="77777777" w:rsidR="00D1561E" w:rsidRPr="00D1561E" w:rsidRDefault="00D1561E" w:rsidP="00165C98">
            <w:pPr>
              <w:rPr>
                <w:rFonts w:ascii="Arial" w:eastAsia="Malgun Gothic" w:hAnsi="Arial" w:cs="Times New Roman"/>
                <w:b/>
                <w:color w:val="19488C"/>
                <w:spacing w:val="20"/>
                <w:kern w:val="28"/>
                <w:szCs w:val="52"/>
              </w:rPr>
            </w:pPr>
            <w:r w:rsidRPr="00D1561E">
              <w:rPr>
                <w:rFonts w:ascii="Arial" w:eastAsia="Malgun Gothic" w:hAnsi="Arial" w:cs="Times New Roman"/>
                <w:b/>
                <w:color w:val="19488C"/>
                <w:spacing w:val="20"/>
                <w:kern w:val="28"/>
                <w:szCs w:val="52"/>
              </w:rPr>
              <w:lastRenderedPageBreak/>
              <w:t>Samningur</w:t>
            </w:r>
          </w:p>
        </w:tc>
        <w:tc>
          <w:tcPr>
            <w:tcW w:w="1165" w:type="pct"/>
          </w:tcPr>
          <w:p w14:paraId="424E9600" w14:textId="77777777" w:rsidR="00D1561E" w:rsidRPr="00D1561E" w:rsidRDefault="00D1561E" w:rsidP="00165C98">
            <w:pPr>
              <w:tabs>
                <w:tab w:val="left" w:pos="646"/>
              </w:tabs>
              <w:jc w:val="right"/>
              <w:rPr>
                <w:rFonts w:ascii="Calibri" w:eastAsia="Calibri" w:hAnsi="Calibri" w:cs="Arial"/>
                <w:sz w:val="20"/>
                <w:szCs w:val="20"/>
              </w:rPr>
            </w:pPr>
            <w:r w:rsidRPr="00D1561E">
              <w:rPr>
                <w:rFonts w:ascii="Calibri" w:eastAsia="Calibri" w:hAnsi="Calibri" w:cs="Arial"/>
                <w:noProof/>
                <w:sz w:val="20"/>
                <w:szCs w:val="20"/>
                <w:lang w:val="en-US"/>
              </w:rPr>
              <w:drawing>
                <wp:anchor distT="0" distB="0" distL="114300" distR="114300" simplePos="0" relativeHeight="251661312" behindDoc="1" locked="0" layoutInCell="1" allowOverlap="1" wp14:anchorId="3C71E1FB" wp14:editId="77F7202A">
                  <wp:simplePos x="0" y="0"/>
                  <wp:positionH relativeFrom="column">
                    <wp:posOffset>247856</wp:posOffset>
                  </wp:positionH>
                  <wp:positionV relativeFrom="page">
                    <wp:posOffset>-2540</wp:posOffset>
                  </wp:positionV>
                  <wp:extent cx="1144800" cy="24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1561E" w:rsidRPr="00D1561E" w14:paraId="13CD0CD4" w14:textId="77777777" w:rsidTr="00165C98">
        <w:trPr>
          <w:trHeight w:val="397"/>
        </w:trPr>
        <w:tc>
          <w:tcPr>
            <w:tcW w:w="3835" w:type="pct"/>
            <w:vAlign w:val="center"/>
          </w:tcPr>
          <w:p w14:paraId="56F27418" w14:textId="3D8BF242" w:rsidR="00D1561E" w:rsidRDefault="00D1561E" w:rsidP="00165C98">
            <w:pPr>
              <w:rPr>
                <w:rFonts w:ascii="Arial" w:eastAsia="Malgun Gothic" w:hAnsi="Arial" w:cs="Times New Roman"/>
                <w:color w:val="19488C"/>
                <w:spacing w:val="15"/>
                <w:sz w:val="22"/>
              </w:rPr>
            </w:pPr>
            <w:r w:rsidRPr="00D1561E">
              <w:rPr>
                <w:rFonts w:ascii="Arial" w:eastAsia="Malgun Gothic" w:hAnsi="Arial" w:cs="Times New Roman"/>
                <w:color w:val="19488C"/>
                <w:spacing w:val="15"/>
                <w:sz w:val="22"/>
              </w:rPr>
              <w:t>um aðgang innheimtufyrirtækis að innheimtukröfum</w:t>
            </w:r>
          </w:p>
          <w:p w14:paraId="2E5C9B94" w14:textId="77777777" w:rsidR="00D1561E" w:rsidRPr="00D1561E" w:rsidRDefault="00D1561E" w:rsidP="00165C98">
            <w:pPr>
              <w:rPr>
                <w:rFonts w:ascii="Arial" w:eastAsia="Malgun Gothic" w:hAnsi="Arial" w:cs="Times New Roman"/>
                <w:iCs/>
                <w:color w:val="19488C"/>
                <w:spacing w:val="15"/>
                <w:sz w:val="22"/>
              </w:rPr>
            </w:pPr>
            <w:r w:rsidRPr="00D1561E">
              <w:rPr>
                <w:rFonts w:ascii="Arial" w:eastAsia="Malgun Gothic" w:hAnsi="Arial" w:cs="Times New Roman"/>
                <w:color w:val="19488C"/>
                <w:spacing w:val="15"/>
                <w:sz w:val="22"/>
              </w:rPr>
              <w:t>í gegnum Netbanka Arion banka</w:t>
            </w:r>
          </w:p>
        </w:tc>
        <w:tc>
          <w:tcPr>
            <w:tcW w:w="1165" w:type="pct"/>
            <w:vAlign w:val="bottom"/>
          </w:tcPr>
          <w:p w14:paraId="31C954F5" w14:textId="77777777" w:rsidR="00D1561E" w:rsidRPr="00D1561E" w:rsidRDefault="00D1561E" w:rsidP="00165C98">
            <w:pPr>
              <w:jc w:val="right"/>
              <w:rPr>
                <w:rFonts w:ascii="Calibri" w:eastAsia="Calibri" w:hAnsi="Calibri" w:cs="Arial"/>
                <w:noProof/>
                <w:sz w:val="20"/>
                <w:szCs w:val="20"/>
                <w:lang w:eastAsia="is-IS"/>
              </w:rPr>
            </w:pPr>
          </w:p>
        </w:tc>
      </w:tr>
    </w:tbl>
    <w:p w14:paraId="5BC7F389" w14:textId="1F3A991E" w:rsidR="001424C8" w:rsidRDefault="001424C8" w:rsidP="001424C8">
      <w:pPr>
        <w:rPr>
          <w:rStyle w:val="SubtleEmphasis"/>
        </w:rPr>
      </w:pPr>
    </w:p>
    <w:p w14:paraId="2610D4B7" w14:textId="77777777" w:rsidR="00F7285C" w:rsidRPr="00B935A3" w:rsidRDefault="00F7285C" w:rsidP="001424C8">
      <w:pPr>
        <w:rPr>
          <w:rStyle w:val="SubtleEmphasis"/>
        </w:rPr>
      </w:pPr>
    </w:p>
    <w:p w14:paraId="1BAFF140" w14:textId="77777777" w:rsidR="009C659E" w:rsidRPr="001424C8" w:rsidRDefault="009C659E" w:rsidP="009C659E">
      <w:pPr>
        <w:numPr>
          <w:ilvl w:val="0"/>
          <w:numId w:val="1"/>
        </w:numPr>
        <w:tabs>
          <w:tab w:val="clear" w:pos="360"/>
          <w:tab w:val="num" w:pos="-360"/>
          <w:tab w:val="num" w:pos="284"/>
        </w:tabs>
        <w:ind w:left="284" w:hanging="284"/>
        <w:jc w:val="both"/>
        <w:rPr>
          <w:rStyle w:val="SubtleEmphasis"/>
        </w:rPr>
      </w:pPr>
      <w:r w:rsidRPr="001424C8">
        <w:rPr>
          <w:rStyle w:val="SubtleEmphasis"/>
        </w:rPr>
        <w:t>Bankinn ber ekki ábyrgð á tjóni sem stafar af óviðráðanlegum orsökum (</w:t>
      </w:r>
      <w:proofErr w:type="spellStart"/>
      <w:r w:rsidRPr="001424C8">
        <w:rPr>
          <w:rStyle w:val="SubtleEmphasis"/>
        </w:rPr>
        <w:t>force</w:t>
      </w:r>
      <w:proofErr w:type="spellEnd"/>
      <w:r w:rsidRPr="001424C8">
        <w:rPr>
          <w:rStyle w:val="SubtleEmphasis"/>
        </w:rPr>
        <w:t xml:space="preserve"> </w:t>
      </w:r>
      <w:proofErr w:type="spellStart"/>
      <w:r w:rsidRPr="001424C8">
        <w:rPr>
          <w:rStyle w:val="SubtleEmphasis"/>
        </w:rPr>
        <w:t>majeure</w:t>
      </w:r>
      <w:proofErr w:type="spellEnd"/>
      <w:r w:rsidRPr="001424C8">
        <w:rPr>
          <w:rStyle w:val="SubtleEmphasis"/>
        </w:rPr>
        <w:t>), s.s. stríði eða yfirvofandi stríðsátökum, hryðjuverkum, náttúruhamförum, verkfalli, verkbanni eða viðskiptabanni. Jafnframt ber bankinn ekki ábyrgð á tjóni sem stafar af atburðum sem eru stjórnmálalegs, félagslegs, fjármálalegs eða efnahagslegs eðlis og eru líkleg til að koma í veg fyrir, rjúfa eða trufla að hluta eða öllu leyti þá þjónustu er bankinn veitir, jafnvel þó að slík atvik flokkist ekki undir óviðráðanleg atvik.</w:t>
      </w:r>
    </w:p>
    <w:p w14:paraId="47C6E5F6" w14:textId="77777777" w:rsidR="009C659E" w:rsidRPr="001424C8" w:rsidRDefault="009C659E" w:rsidP="009C659E">
      <w:pPr>
        <w:numPr>
          <w:ilvl w:val="0"/>
          <w:numId w:val="1"/>
        </w:numPr>
        <w:tabs>
          <w:tab w:val="clear" w:pos="360"/>
          <w:tab w:val="num" w:pos="-360"/>
          <w:tab w:val="num" w:pos="284"/>
        </w:tabs>
        <w:ind w:left="284" w:hanging="284"/>
        <w:jc w:val="both"/>
        <w:rPr>
          <w:rStyle w:val="SubtleEmphasis"/>
        </w:rPr>
      </w:pPr>
      <w:r w:rsidRPr="001424C8">
        <w:rPr>
          <w:rStyle w:val="SubtleEmphasis"/>
        </w:rPr>
        <w:t xml:space="preserve">Ef notandi, sem </w:t>
      </w:r>
      <w:r>
        <w:rPr>
          <w:rStyle w:val="SubtleEmphasis"/>
        </w:rPr>
        <w:t>kröfuhafi</w:t>
      </w:r>
      <w:r w:rsidRPr="001424C8">
        <w:rPr>
          <w:rStyle w:val="SubtleEmphasis"/>
        </w:rPr>
        <w:t xml:space="preserve"> hefur veitt aðgang að netbanka, verður uppvís að misnotkun eða tilraun</w:t>
      </w:r>
      <w:r>
        <w:rPr>
          <w:rStyle w:val="SubtleEmphasis"/>
        </w:rPr>
        <w:t>ar</w:t>
      </w:r>
      <w:r w:rsidRPr="001424C8">
        <w:rPr>
          <w:rStyle w:val="SubtleEmphasis"/>
        </w:rPr>
        <w:t xml:space="preserve"> til misnotkunar á upplýsingum sem fengnar voru í netbanka eða á kerfinu sjálfu eða brýtur ákvæði samnings þessa að öðru leyti, er Arion banka hf. heimilt einhliða og fyrirvaralaust að rjúfa aðgang notanda að netbanka.</w:t>
      </w:r>
    </w:p>
    <w:p w14:paraId="3470F3AC" w14:textId="41253897" w:rsidR="009C659E" w:rsidRPr="001424C8" w:rsidRDefault="009C659E" w:rsidP="009C659E">
      <w:pPr>
        <w:numPr>
          <w:ilvl w:val="0"/>
          <w:numId w:val="1"/>
        </w:numPr>
        <w:tabs>
          <w:tab w:val="clear" w:pos="360"/>
          <w:tab w:val="num" w:pos="-360"/>
          <w:tab w:val="num" w:pos="284"/>
        </w:tabs>
        <w:ind w:left="284" w:hanging="284"/>
        <w:jc w:val="both"/>
        <w:rPr>
          <w:rStyle w:val="SubtleEmphasis"/>
        </w:rPr>
      </w:pPr>
      <w:r>
        <w:rPr>
          <w:rStyle w:val="SubtleEmphasis"/>
        </w:rPr>
        <w:t>Kröfuhafi</w:t>
      </w:r>
      <w:r w:rsidRPr="001424C8">
        <w:rPr>
          <w:rStyle w:val="SubtleEmphasis"/>
        </w:rPr>
        <w:t xml:space="preserve"> og notandi hafa kynnt sér þær reglur sem gilda um notkun innheimtukrafna í netbanka og staðfesta hér fyrir neðan með undirritun sinni að þeir munu fylgja þeim í hvívetna. Arion banki og </w:t>
      </w:r>
      <w:r>
        <w:rPr>
          <w:rStyle w:val="SubtleEmphasis"/>
        </w:rPr>
        <w:t>kröfuhafi</w:t>
      </w:r>
      <w:r w:rsidRPr="001424C8">
        <w:rPr>
          <w:rStyle w:val="SubtleEmphasis"/>
        </w:rPr>
        <w:t xml:space="preserve"> geta hvor um sig sagt samningi þessum upp með eins mánaðar fyrirvara</w:t>
      </w:r>
      <w:r w:rsidR="00C35744">
        <w:rPr>
          <w:rStyle w:val="SubtleEmphasis"/>
        </w:rPr>
        <w:t>, sé um lögaðila að ræða. Sé kröfuhafi neytandi er uppsagnarfrestur tveir mánuðir.</w:t>
      </w:r>
    </w:p>
    <w:p w14:paraId="6C40D723" w14:textId="77777777" w:rsidR="009C659E" w:rsidRPr="001424C8" w:rsidRDefault="009C659E" w:rsidP="009C659E">
      <w:pPr>
        <w:numPr>
          <w:ilvl w:val="0"/>
          <w:numId w:val="1"/>
        </w:numPr>
        <w:tabs>
          <w:tab w:val="clear" w:pos="360"/>
          <w:tab w:val="num" w:pos="-360"/>
          <w:tab w:val="num" w:pos="284"/>
        </w:tabs>
        <w:ind w:left="284" w:hanging="284"/>
        <w:jc w:val="both"/>
        <w:rPr>
          <w:rStyle w:val="SubtleEmphasis"/>
        </w:rPr>
      </w:pPr>
      <w:r w:rsidRPr="001424C8">
        <w:rPr>
          <w:rStyle w:val="SubtleEmphasis"/>
        </w:rPr>
        <w:t>Greiðslur sem framkvæmdar eru eftir kl. 21:00 að íslenskum tíma kunna að verða afgreiddar næsta virka bankadag. Komi greiðsludagur upp um helgi eða á frídegi greiðist fjárhæðin næsta virka bankadag.</w:t>
      </w:r>
    </w:p>
    <w:p w14:paraId="0E8A48C3" w14:textId="77777777" w:rsidR="009C659E" w:rsidRPr="001424C8" w:rsidRDefault="009C659E" w:rsidP="009C659E">
      <w:pPr>
        <w:numPr>
          <w:ilvl w:val="0"/>
          <w:numId w:val="1"/>
        </w:numPr>
        <w:tabs>
          <w:tab w:val="clear" w:pos="360"/>
          <w:tab w:val="num" w:pos="-360"/>
          <w:tab w:val="num" w:pos="284"/>
        </w:tabs>
        <w:ind w:left="284" w:hanging="284"/>
        <w:jc w:val="both"/>
        <w:rPr>
          <w:rStyle w:val="SubtleEmphasis"/>
        </w:rPr>
      </w:pPr>
      <w:r w:rsidRPr="001424C8">
        <w:rPr>
          <w:rStyle w:val="SubtleEmphasis"/>
        </w:rPr>
        <w:t>Bankinn áskilur sér rétt til að fella skilmála þessa úr gildi, bæta við þá eða breyta hvenær sem er.</w:t>
      </w:r>
    </w:p>
    <w:p w14:paraId="6A161BCE" w14:textId="77777777" w:rsidR="009C659E" w:rsidRPr="001424C8" w:rsidRDefault="009C659E" w:rsidP="009C659E">
      <w:pPr>
        <w:numPr>
          <w:ilvl w:val="0"/>
          <w:numId w:val="1"/>
        </w:numPr>
        <w:tabs>
          <w:tab w:val="clear" w:pos="360"/>
          <w:tab w:val="num" w:pos="-360"/>
          <w:tab w:val="num" w:pos="284"/>
        </w:tabs>
        <w:ind w:left="284" w:hanging="284"/>
        <w:jc w:val="both"/>
        <w:rPr>
          <w:rStyle w:val="SubtleEmphasis"/>
        </w:rPr>
      </w:pPr>
      <w:r w:rsidRPr="001424C8">
        <w:rPr>
          <w:rStyle w:val="SubtleEmphasis"/>
        </w:rPr>
        <w:t>Rísi mál út af samningi þessum skal reka það fyrir Héraðsdómi Reykjavíkur.</w:t>
      </w:r>
    </w:p>
    <w:p w14:paraId="5BC7F399" w14:textId="6EBD2886" w:rsidR="001424C8" w:rsidRDefault="001424C8" w:rsidP="001424C8">
      <w:pPr>
        <w:pStyle w:val="Header"/>
        <w:rPr>
          <w:rFonts w:ascii="Verdana" w:hAnsi="Verdana"/>
          <w:sz w:val="10"/>
          <w:szCs w:val="10"/>
        </w:rPr>
      </w:pPr>
    </w:p>
    <w:p w14:paraId="69C897C9" w14:textId="4F73E4A4" w:rsidR="00F7285C" w:rsidRDefault="00F7285C" w:rsidP="001424C8">
      <w:pPr>
        <w:pStyle w:val="Header"/>
        <w:rPr>
          <w:rFonts w:ascii="Verdana" w:hAnsi="Verdana"/>
          <w:sz w:val="10"/>
          <w:szCs w:val="10"/>
        </w:rPr>
      </w:pPr>
    </w:p>
    <w:p w14:paraId="2C1753A0" w14:textId="15EFF81F" w:rsidR="00F7285C" w:rsidRDefault="00F7285C" w:rsidP="001424C8">
      <w:pPr>
        <w:pStyle w:val="Header"/>
        <w:rPr>
          <w:rFonts w:ascii="Verdana" w:hAnsi="Verdana"/>
          <w:sz w:val="10"/>
          <w:szCs w:val="10"/>
        </w:rPr>
      </w:pPr>
    </w:p>
    <w:p w14:paraId="320E6C51" w14:textId="77777777" w:rsidR="00F7285C" w:rsidRDefault="00F7285C" w:rsidP="001424C8">
      <w:pPr>
        <w:pStyle w:val="Header"/>
        <w:rPr>
          <w:rFonts w:ascii="Verdana" w:hAnsi="Verdana"/>
          <w:sz w:val="10"/>
          <w:szCs w:val="10"/>
        </w:rPr>
      </w:pPr>
    </w:p>
    <w:tbl>
      <w:tblPr>
        <w:tblW w:w="5000" w:type="pct"/>
        <w:tblLook w:val="0000" w:firstRow="0" w:lastRow="0" w:firstColumn="0" w:lastColumn="0" w:noHBand="0" w:noVBand="0"/>
      </w:tblPr>
      <w:tblGrid>
        <w:gridCol w:w="4784"/>
        <w:gridCol w:w="237"/>
        <w:gridCol w:w="4843"/>
      </w:tblGrid>
      <w:tr w:rsidR="001424C8" w:rsidRPr="001424C8" w14:paraId="5BC7F39C" w14:textId="77777777" w:rsidTr="001424C8">
        <w:trPr>
          <w:trHeight w:val="80"/>
        </w:trPr>
        <w:tc>
          <w:tcPr>
            <w:tcW w:w="2545" w:type="pct"/>
            <w:gridSpan w:val="2"/>
          </w:tcPr>
          <w:p w14:paraId="5BC7F39A" w14:textId="77777777" w:rsidR="001424C8" w:rsidRPr="001424C8" w:rsidRDefault="001424C8" w:rsidP="001424C8">
            <w:pPr>
              <w:pStyle w:val="Footer"/>
              <w:rPr>
                <w:rStyle w:val="SubtleEmphasis"/>
              </w:rPr>
            </w:pPr>
          </w:p>
        </w:tc>
        <w:bookmarkStart w:id="12" w:name="Text90"/>
        <w:tc>
          <w:tcPr>
            <w:tcW w:w="2455" w:type="pct"/>
            <w:tcBorders>
              <w:bottom w:val="single" w:sz="2" w:space="0" w:color="auto"/>
            </w:tcBorders>
          </w:tcPr>
          <w:p w14:paraId="5BC7F39B" w14:textId="77777777" w:rsidR="001424C8" w:rsidRPr="001424C8" w:rsidRDefault="001424C8" w:rsidP="001424C8">
            <w:pPr>
              <w:rPr>
                <w:rStyle w:val="SubtleEmphasis"/>
              </w:rPr>
            </w:pPr>
            <w:r w:rsidRPr="001424C8">
              <w:rPr>
                <w:rStyle w:val="SubtleEmphasis"/>
              </w:rPr>
              <w:fldChar w:fldCharType="begin">
                <w:ffData>
                  <w:name w:val="Text90"/>
                  <w:enabled/>
                  <w:calcOnExit w:val="0"/>
                  <w:textInput>
                    <w:maxLength w:val="40"/>
                  </w:textInput>
                </w:ffData>
              </w:fldChar>
            </w:r>
            <w:r w:rsidRPr="001424C8">
              <w:rPr>
                <w:rStyle w:val="SubtleEmphasis"/>
              </w:rPr>
              <w:instrText xml:space="preserve"> FORMTEXT </w:instrText>
            </w:r>
            <w:r w:rsidRPr="001424C8">
              <w:rPr>
                <w:rStyle w:val="SubtleEmphasis"/>
              </w:rPr>
            </w:r>
            <w:r w:rsidRPr="001424C8">
              <w:rPr>
                <w:rStyle w:val="SubtleEmphasis"/>
              </w:rPr>
              <w:fldChar w:fldCharType="separate"/>
            </w:r>
            <w:r w:rsidRPr="001424C8">
              <w:rPr>
                <w:rStyle w:val="SubtleEmphasis"/>
              </w:rPr>
              <w:t> </w:t>
            </w:r>
            <w:r w:rsidRPr="001424C8">
              <w:rPr>
                <w:rStyle w:val="SubtleEmphasis"/>
              </w:rPr>
              <w:t> </w:t>
            </w:r>
            <w:r w:rsidRPr="001424C8">
              <w:rPr>
                <w:rStyle w:val="SubtleEmphasis"/>
              </w:rPr>
              <w:t> </w:t>
            </w:r>
            <w:r w:rsidRPr="001424C8">
              <w:rPr>
                <w:rStyle w:val="SubtleEmphasis"/>
              </w:rPr>
              <w:t> </w:t>
            </w:r>
            <w:r w:rsidRPr="001424C8">
              <w:rPr>
                <w:rStyle w:val="SubtleEmphasis"/>
              </w:rPr>
              <w:t> </w:t>
            </w:r>
            <w:r w:rsidRPr="001424C8">
              <w:rPr>
                <w:rStyle w:val="SubtleEmphasis"/>
              </w:rPr>
              <w:fldChar w:fldCharType="end"/>
            </w:r>
            <w:bookmarkEnd w:id="12"/>
          </w:p>
        </w:tc>
      </w:tr>
      <w:tr w:rsidR="001424C8" w:rsidRPr="001424C8" w14:paraId="5BC7F39F" w14:textId="77777777" w:rsidTr="001424C8">
        <w:trPr>
          <w:trHeight w:val="384"/>
        </w:trPr>
        <w:tc>
          <w:tcPr>
            <w:tcW w:w="2545" w:type="pct"/>
            <w:gridSpan w:val="2"/>
          </w:tcPr>
          <w:p w14:paraId="5BC7F39D" w14:textId="77777777" w:rsidR="001424C8" w:rsidRPr="001424C8" w:rsidRDefault="001424C8" w:rsidP="001424C8">
            <w:pPr>
              <w:rPr>
                <w:rStyle w:val="Strong"/>
              </w:rPr>
            </w:pPr>
          </w:p>
        </w:tc>
        <w:tc>
          <w:tcPr>
            <w:tcW w:w="2455" w:type="pct"/>
            <w:tcBorders>
              <w:top w:val="single" w:sz="2" w:space="0" w:color="auto"/>
            </w:tcBorders>
          </w:tcPr>
          <w:p w14:paraId="5BC7F39E" w14:textId="77777777" w:rsidR="001424C8" w:rsidRPr="001424C8" w:rsidRDefault="001424C8" w:rsidP="001424C8">
            <w:pPr>
              <w:rPr>
                <w:rStyle w:val="Strong"/>
              </w:rPr>
            </w:pPr>
            <w:r w:rsidRPr="001424C8">
              <w:rPr>
                <w:rStyle w:val="Strong"/>
              </w:rPr>
              <w:t>Staður og dagsetning</w:t>
            </w:r>
          </w:p>
        </w:tc>
      </w:tr>
      <w:tr w:rsidR="001424C8" w:rsidRPr="001424C8" w14:paraId="5BC7F3A2" w14:textId="77777777" w:rsidTr="001424C8">
        <w:tc>
          <w:tcPr>
            <w:tcW w:w="2545" w:type="pct"/>
            <w:gridSpan w:val="2"/>
          </w:tcPr>
          <w:p w14:paraId="5BC7F3A0" w14:textId="77777777" w:rsidR="001424C8" w:rsidRPr="001424C8" w:rsidRDefault="001424C8" w:rsidP="001424C8">
            <w:pPr>
              <w:rPr>
                <w:rStyle w:val="SubtleEmphasis"/>
              </w:rPr>
            </w:pPr>
            <w:r w:rsidRPr="001424C8">
              <w:rPr>
                <w:rStyle w:val="SubtleEmphasis"/>
              </w:rPr>
              <w:t>Vottar að undirritun og dagsetningu</w:t>
            </w:r>
          </w:p>
        </w:tc>
        <w:tc>
          <w:tcPr>
            <w:tcW w:w="2455" w:type="pct"/>
          </w:tcPr>
          <w:p w14:paraId="5BC7F3A1" w14:textId="4341E802" w:rsidR="001424C8" w:rsidRPr="001424C8" w:rsidRDefault="001424C8" w:rsidP="001424C8">
            <w:pPr>
              <w:rPr>
                <w:rStyle w:val="SubtleEmphasis"/>
              </w:rPr>
            </w:pPr>
            <w:r w:rsidRPr="001424C8">
              <w:rPr>
                <w:rStyle w:val="SubtleEmphasis"/>
              </w:rPr>
              <w:t xml:space="preserve">Samþykki f.h. </w:t>
            </w:r>
            <w:r w:rsidR="009C659E">
              <w:rPr>
                <w:rStyle w:val="SubtleEmphasis"/>
              </w:rPr>
              <w:t>kröfuhafa:</w:t>
            </w:r>
          </w:p>
        </w:tc>
      </w:tr>
      <w:tr w:rsidR="001424C8" w:rsidRPr="002A6AF1" w14:paraId="5BC7F3A6" w14:textId="77777777" w:rsidTr="001424C8">
        <w:trPr>
          <w:trHeight w:val="454"/>
        </w:trPr>
        <w:tc>
          <w:tcPr>
            <w:tcW w:w="2425" w:type="pct"/>
            <w:tcBorders>
              <w:bottom w:val="single" w:sz="2" w:space="0" w:color="auto"/>
            </w:tcBorders>
          </w:tcPr>
          <w:p w14:paraId="5BC7F3A3" w14:textId="77777777" w:rsidR="001424C8" w:rsidRPr="002A6AF1" w:rsidRDefault="001424C8" w:rsidP="001424C8">
            <w:pPr>
              <w:rPr>
                <w:rFonts w:ascii="Verdana" w:hAnsi="Verdana" w:cs="Arial"/>
                <w:sz w:val="18"/>
                <w:szCs w:val="18"/>
              </w:rPr>
            </w:pPr>
          </w:p>
        </w:tc>
        <w:tc>
          <w:tcPr>
            <w:tcW w:w="120" w:type="pct"/>
          </w:tcPr>
          <w:p w14:paraId="5BC7F3A4" w14:textId="77777777" w:rsidR="001424C8" w:rsidRPr="002A6AF1" w:rsidRDefault="001424C8" w:rsidP="001424C8">
            <w:pPr>
              <w:rPr>
                <w:rFonts w:ascii="Verdana" w:hAnsi="Verdana" w:cs="Arial"/>
                <w:sz w:val="18"/>
                <w:szCs w:val="18"/>
              </w:rPr>
            </w:pPr>
          </w:p>
        </w:tc>
        <w:tc>
          <w:tcPr>
            <w:tcW w:w="2455" w:type="pct"/>
            <w:tcBorders>
              <w:bottom w:val="single" w:sz="2" w:space="0" w:color="auto"/>
            </w:tcBorders>
          </w:tcPr>
          <w:p w14:paraId="5BC7F3A5" w14:textId="77777777" w:rsidR="001424C8" w:rsidRPr="002A6AF1" w:rsidRDefault="001424C8" w:rsidP="001424C8">
            <w:pPr>
              <w:rPr>
                <w:rFonts w:ascii="Verdana" w:hAnsi="Verdana" w:cs="Arial"/>
                <w:sz w:val="18"/>
                <w:szCs w:val="18"/>
              </w:rPr>
            </w:pPr>
          </w:p>
        </w:tc>
      </w:tr>
      <w:tr w:rsidR="001424C8" w:rsidRPr="001424C8" w14:paraId="5BC7F3AA" w14:textId="77777777" w:rsidTr="001424C8">
        <w:tc>
          <w:tcPr>
            <w:tcW w:w="2425" w:type="pct"/>
            <w:tcBorders>
              <w:top w:val="single" w:sz="2" w:space="0" w:color="auto"/>
            </w:tcBorders>
          </w:tcPr>
          <w:p w14:paraId="5BC7F3A7" w14:textId="77777777" w:rsidR="001424C8" w:rsidRPr="001424C8" w:rsidRDefault="001424C8" w:rsidP="001424C8">
            <w:pPr>
              <w:rPr>
                <w:rStyle w:val="Strong"/>
              </w:rPr>
            </w:pPr>
            <w:r w:rsidRPr="001424C8">
              <w:rPr>
                <w:rStyle w:val="Strong"/>
              </w:rPr>
              <w:t xml:space="preserve">Nafn                                               </w:t>
            </w:r>
            <w:r>
              <w:rPr>
                <w:rStyle w:val="Strong"/>
              </w:rPr>
              <w:t xml:space="preserve">                                      </w:t>
            </w:r>
            <w:r w:rsidRPr="001424C8">
              <w:rPr>
                <w:rStyle w:val="Strong"/>
              </w:rPr>
              <w:t xml:space="preserve">           Kennitala</w:t>
            </w:r>
          </w:p>
        </w:tc>
        <w:tc>
          <w:tcPr>
            <w:tcW w:w="120" w:type="pct"/>
          </w:tcPr>
          <w:p w14:paraId="5BC7F3A8" w14:textId="77777777" w:rsidR="001424C8" w:rsidRPr="001424C8" w:rsidRDefault="001424C8" w:rsidP="001424C8">
            <w:pPr>
              <w:rPr>
                <w:rStyle w:val="Strong"/>
              </w:rPr>
            </w:pPr>
          </w:p>
        </w:tc>
        <w:tc>
          <w:tcPr>
            <w:tcW w:w="2455" w:type="pct"/>
            <w:tcBorders>
              <w:top w:val="single" w:sz="2" w:space="0" w:color="auto"/>
            </w:tcBorders>
          </w:tcPr>
          <w:p w14:paraId="5BC7F3A9" w14:textId="77777777" w:rsidR="001424C8" w:rsidRPr="001424C8" w:rsidRDefault="001424C8" w:rsidP="001424C8">
            <w:pPr>
              <w:rPr>
                <w:rStyle w:val="Strong"/>
              </w:rPr>
            </w:pPr>
            <w:r w:rsidRPr="001424C8">
              <w:rPr>
                <w:rStyle w:val="Strong"/>
              </w:rPr>
              <w:t xml:space="preserve">Nafn                                               </w:t>
            </w:r>
            <w:r>
              <w:rPr>
                <w:rStyle w:val="Strong"/>
              </w:rPr>
              <w:t xml:space="preserve">                                      </w:t>
            </w:r>
            <w:r w:rsidRPr="001424C8">
              <w:rPr>
                <w:rStyle w:val="Strong"/>
              </w:rPr>
              <w:t xml:space="preserve">           Kennitala</w:t>
            </w:r>
          </w:p>
        </w:tc>
      </w:tr>
      <w:tr w:rsidR="001424C8" w:rsidRPr="002A6AF1" w14:paraId="5BC7F3AE" w14:textId="77777777" w:rsidTr="001424C8">
        <w:trPr>
          <w:trHeight w:val="454"/>
        </w:trPr>
        <w:tc>
          <w:tcPr>
            <w:tcW w:w="2425" w:type="pct"/>
            <w:tcBorders>
              <w:bottom w:val="single" w:sz="2" w:space="0" w:color="auto"/>
            </w:tcBorders>
          </w:tcPr>
          <w:p w14:paraId="5BC7F3AB" w14:textId="77777777" w:rsidR="001424C8" w:rsidRPr="002A6AF1" w:rsidRDefault="001424C8" w:rsidP="001424C8">
            <w:pPr>
              <w:rPr>
                <w:rFonts w:ascii="Verdana" w:hAnsi="Verdana" w:cs="Arial"/>
                <w:sz w:val="18"/>
                <w:szCs w:val="18"/>
              </w:rPr>
            </w:pPr>
          </w:p>
        </w:tc>
        <w:tc>
          <w:tcPr>
            <w:tcW w:w="120" w:type="pct"/>
          </w:tcPr>
          <w:p w14:paraId="5BC7F3AC" w14:textId="77777777" w:rsidR="001424C8" w:rsidRPr="002A6AF1" w:rsidRDefault="001424C8" w:rsidP="001424C8">
            <w:pPr>
              <w:rPr>
                <w:rFonts w:ascii="Verdana" w:hAnsi="Verdana" w:cs="Arial"/>
                <w:sz w:val="18"/>
                <w:szCs w:val="18"/>
              </w:rPr>
            </w:pPr>
          </w:p>
        </w:tc>
        <w:tc>
          <w:tcPr>
            <w:tcW w:w="2455" w:type="pct"/>
            <w:tcBorders>
              <w:bottom w:val="single" w:sz="2" w:space="0" w:color="auto"/>
            </w:tcBorders>
          </w:tcPr>
          <w:p w14:paraId="5BC7F3AD" w14:textId="77777777" w:rsidR="001424C8" w:rsidRPr="002A6AF1" w:rsidRDefault="001424C8" w:rsidP="001424C8">
            <w:pPr>
              <w:rPr>
                <w:rFonts w:ascii="Verdana" w:hAnsi="Verdana" w:cs="Arial"/>
                <w:sz w:val="18"/>
                <w:szCs w:val="18"/>
              </w:rPr>
            </w:pPr>
          </w:p>
        </w:tc>
      </w:tr>
      <w:tr w:rsidR="001424C8" w:rsidRPr="001424C8" w14:paraId="5BC7F3B2" w14:textId="77777777" w:rsidTr="001424C8">
        <w:tc>
          <w:tcPr>
            <w:tcW w:w="2425" w:type="pct"/>
            <w:tcBorders>
              <w:top w:val="single" w:sz="2" w:space="0" w:color="auto"/>
            </w:tcBorders>
          </w:tcPr>
          <w:p w14:paraId="5BC7F3AF" w14:textId="77777777" w:rsidR="001424C8" w:rsidRPr="001424C8" w:rsidRDefault="001424C8" w:rsidP="001424C8">
            <w:pPr>
              <w:rPr>
                <w:rStyle w:val="Strong"/>
              </w:rPr>
            </w:pPr>
            <w:r w:rsidRPr="001424C8">
              <w:rPr>
                <w:rStyle w:val="Strong"/>
              </w:rPr>
              <w:t xml:space="preserve">Nafn                                               </w:t>
            </w:r>
            <w:r>
              <w:rPr>
                <w:rStyle w:val="Strong"/>
              </w:rPr>
              <w:t xml:space="preserve">                                      </w:t>
            </w:r>
            <w:r w:rsidRPr="001424C8">
              <w:rPr>
                <w:rStyle w:val="Strong"/>
              </w:rPr>
              <w:t xml:space="preserve">           Kennitala</w:t>
            </w:r>
          </w:p>
        </w:tc>
        <w:tc>
          <w:tcPr>
            <w:tcW w:w="120" w:type="pct"/>
          </w:tcPr>
          <w:p w14:paraId="5BC7F3B0" w14:textId="77777777" w:rsidR="001424C8" w:rsidRPr="001424C8" w:rsidRDefault="001424C8" w:rsidP="001424C8">
            <w:pPr>
              <w:rPr>
                <w:rStyle w:val="Strong"/>
              </w:rPr>
            </w:pPr>
          </w:p>
        </w:tc>
        <w:tc>
          <w:tcPr>
            <w:tcW w:w="2455" w:type="pct"/>
            <w:tcBorders>
              <w:top w:val="single" w:sz="2" w:space="0" w:color="auto"/>
            </w:tcBorders>
          </w:tcPr>
          <w:p w14:paraId="5BC7F3B1" w14:textId="77777777" w:rsidR="001424C8" w:rsidRPr="001424C8" w:rsidRDefault="001424C8" w:rsidP="001424C8">
            <w:pPr>
              <w:rPr>
                <w:rStyle w:val="Strong"/>
              </w:rPr>
            </w:pPr>
            <w:r w:rsidRPr="001424C8">
              <w:rPr>
                <w:rStyle w:val="Strong"/>
              </w:rPr>
              <w:t xml:space="preserve">Nafn                                               </w:t>
            </w:r>
            <w:r>
              <w:rPr>
                <w:rStyle w:val="Strong"/>
              </w:rPr>
              <w:t xml:space="preserve">                                      </w:t>
            </w:r>
            <w:r w:rsidRPr="001424C8">
              <w:rPr>
                <w:rStyle w:val="Strong"/>
              </w:rPr>
              <w:t xml:space="preserve">           Kennitala</w:t>
            </w:r>
          </w:p>
        </w:tc>
      </w:tr>
      <w:tr w:rsidR="001424C8" w:rsidRPr="001424C8" w14:paraId="5BC7F3B6" w14:textId="77777777" w:rsidTr="001424C8">
        <w:trPr>
          <w:trHeight w:val="510"/>
        </w:trPr>
        <w:tc>
          <w:tcPr>
            <w:tcW w:w="2425" w:type="pct"/>
            <w:vAlign w:val="bottom"/>
          </w:tcPr>
          <w:p w14:paraId="5BC7F3B3" w14:textId="77777777" w:rsidR="001424C8" w:rsidRPr="001424C8" w:rsidRDefault="001424C8" w:rsidP="001424C8">
            <w:pPr>
              <w:rPr>
                <w:rStyle w:val="SubtleEmphasis"/>
              </w:rPr>
            </w:pPr>
            <w:r w:rsidRPr="001424C8">
              <w:rPr>
                <w:rStyle w:val="SubtleEmphasis"/>
              </w:rPr>
              <w:t>F.h. Arion banka hf.</w:t>
            </w:r>
          </w:p>
        </w:tc>
        <w:tc>
          <w:tcPr>
            <w:tcW w:w="120" w:type="pct"/>
          </w:tcPr>
          <w:p w14:paraId="5BC7F3B4" w14:textId="77777777" w:rsidR="001424C8" w:rsidRPr="001424C8" w:rsidRDefault="001424C8" w:rsidP="001424C8">
            <w:pPr>
              <w:rPr>
                <w:rStyle w:val="SubtleEmphasis"/>
              </w:rPr>
            </w:pPr>
          </w:p>
        </w:tc>
        <w:tc>
          <w:tcPr>
            <w:tcW w:w="2455" w:type="pct"/>
            <w:vAlign w:val="bottom"/>
          </w:tcPr>
          <w:p w14:paraId="5BC7F3B5" w14:textId="77777777" w:rsidR="001424C8" w:rsidRPr="001424C8" w:rsidRDefault="001424C8" w:rsidP="001424C8">
            <w:pPr>
              <w:rPr>
                <w:rStyle w:val="SubtleEmphasis"/>
              </w:rPr>
            </w:pPr>
            <w:r w:rsidRPr="001424C8">
              <w:rPr>
                <w:rStyle w:val="SubtleEmphasis"/>
              </w:rPr>
              <w:t>F.h. Innheimtufyrirtækis</w:t>
            </w:r>
          </w:p>
        </w:tc>
      </w:tr>
      <w:tr w:rsidR="001424C8" w:rsidRPr="006F4540" w14:paraId="5BC7F3BA" w14:textId="77777777" w:rsidTr="001424C8">
        <w:trPr>
          <w:trHeight w:val="510"/>
        </w:trPr>
        <w:tc>
          <w:tcPr>
            <w:tcW w:w="2425" w:type="pct"/>
            <w:tcBorders>
              <w:bottom w:val="single" w:sz="2" w:space="0" w:color="auto"/>
            </w:tcBorders>
          </w:tcPr>
          <w:p w14:paraId="5BC7F3B7" w14:textId="77777777" w:rsidR="001424C8" w:rsidRPr="002A6AF1" w:rsidRDefault="001424C8" w:rsidP="001424C8">
            <w:pPr>
              <w:rPr>
                <w:rFonts w:ascii="Verdana" w:hAnsi="Verdana" w:cs="Arial"/>
                <w:sz w:val="18"/>
                <w:szCs w:val="18"/>
              </w:rPr>
            </w:pPr>
          </w:p>
        </w:tc>
        <w:tc>
          <w:tcPr>
            <w:tcW w:w="120" w:type="pct"/>
          </w:tcPr>
          <w:p w14:paraId="5BC7F3B8" w14:textId="77777777" w:rsidR="001424C8" w:rsidRPr="006F4540" w:rsidRDefault="001424C8" w:rsidP="001424C8">
            <w:pPr>
              <w:rPr>
                <w:rFonts w:ascii="Verdana" w:hAnsi="Verdana" w:cs="Arial"/>
                <w:sz w:val="16"/>
              </w:rPr>
            </w:pPr>
          </w:p>
        </w:tc>
        <w:tc>
          <w:tcPr>
            <w:tcW w:w="2455" w:type="pct"/>
            <w:tcBorders>
              <w:bottom w:val="single" w:sz="4" w:space="0" w:color="auto"/>
            </w:tcBorders>
          </w:tcPr>
          <w:p w14:paraId="5BC7F3B9" w14:textId="77777777" w:rsidR="001424C8" w:rsidRPr="00161D06" w:rsidRDefault="001424C8" w:rsidP="001424C8">
            <w:pPr>
              <w:rPr>
                <w:rFonts w:ascii="Verdana" w:hAnsi="Verdana" w:cs="Arial"/>
                <w:sz w:val="18"/>
                <w:szCs w:val="18"/>
              </w:rPr>
            </w:pPr>
          </w:p>
        </w:tc>
      </w:tr>
      <w:tr w:rsidR="001424C8" w:rsidRPr="001424C8" w14:paraId="5BC7F3BE" w14:textId="77777777" w:rsidTr="001424C8">
        <w:tc>
          <w:tcPr>
            <w:tcW w:w="2425" w:type="pct"/>
            <w:tcBorders>
              <w:top w:val="single" w:sz="2" w:space="0" w:color="auto"/>
            </w:tcBorders>
          </w:tcPr>
          <w:p w14:paraId="5BC7F3BB" w14:textId="77777777" w:rsidR="001424C8" w:rsidRPr="001424C8" w:rsidRDefault="001424C8" w:rsidP="001424C8">
            <w:pPr>
              <w:rPr>
                <w:rStyle w:val="Strong"/>
              </w:rPr>
            </w:pPr>
            <w:r w:rsidRPr="001424C8">
              <w:rPr>
                <w:rStyle w:val="Strong"/>
              </w:rPr>
              <w:t>Nafn starfsmanns</w:t>
            </w:r>
          </w:p>
        </w:tc>
        <w:tc>
          <w:tcPr>
            <w:tcW w:w="120" w:type="pct"/>
          </w:tcPr>
          <w:p w14:paraId="5BC7F3BC" w14:textId="77777777" w:rsidR="001424C8" w:rsidRPr="001424C8" w:rsidRDefault="001424C8" w:rsidP="001424C8">
            <w:pPr>
              <w:rPr>
                <w:rStyle w:val="Strong"/>
              </w:rPr>
            </w:pPr>
          </w:p>
        </w:tc>
        <w:tc>
          <w:tcPr>
            <w:tcW w:w="2455" w:type="pct"/>
            <w:tcBorders>
              <w:top w:val="single" w:sz="4" w:space="0" w:color="auto"/>
            </w:tcBorders>
          </w:tcPr>
          <w:p w14:paraId="5BC7F3BD" w14:textId="77777777" w:rsidR="001424C8" w:rsidRPr="001424C8" w:rsidRDefault="001424C8" w:rsidP="001424C8">
            <w:pPr>
              <w:rPr>
                <w:rStyle w:val="Strong"/>
              </w:rPr>
            </w:pPr>
            <w:r w:rsidRPr="001424C8">
              <w:rPr>
                <w:rStyle w:val="Strong"/>
              </w:rPr>
              <w:t xml:space="preserve">Nafn                                               </w:t>
            </w:r>
            <w:r>
              <w:rPr>
                <w:rStyle w:val="Strong"/>
              </w:rPr>
              <w:t xml:space="preserve">                                      </w:t>
            </w:r>
            <w:r w:rsidRPr="001424C8">
              <w:rPr>
                <w:rStyle w:val="Strong"/>
              </w:rPr>
              <w:t xml:space="preserve">           Kennitala</w:t>
            </w:r>
          </w:p>
        </w:tc>
      </w:tr>
    </w:tbl>
    <w:p w14:paraId="5BC7F3BF" w14:textId="77777777" w:rsidR="001424C8" w:rsidRPr="00B935A3" w:rsidRDefault="001424C8" w:rsidP="00E048BF">
      <w:pPr>
        <w:rPr>
          <w:rStyle w:val="SubtleEmphasis"/>
          <w:sz w:val="8"/>
          <w:szCs w:val="8"/>
        </w:rPr>
      </w:pPr>
    </w:p>
    <w:sectPr w:rsidR="001424C8" w:rsidRPr="00B935A3" w:rsidSect="00B935A3">
      <w:footerReference w:type="default" r:id="rId14"/>
      <w:pgSz w:w="11906" w:h="16838" w:code="9"/>
      <w:pgMar w:top="851" w:right="1021" w:bottom="851"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F3C6" w14:textId="77777777" w:rsidR="00471AC1" w:rsidRDefault="00471AC1" w:rsidP="006C3641">
      <w:r>
        <w:separator/>
      </w:r>
    </w:p>
  </w:endnote>
  <w:endnote w:type="continuationSeparator" w:id="0">
    <w:p w14:paraId="5BC7F3C7" w14:textId="77777777" w:rsidR="00471AC1" w:rsidRDefault="00471AC1"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471AC1" w14:paraId="5BC7F3CA" w14:textId="77777777" w:rsidTr="00F84536">
      <w:trPr>
        <w:trHeight w:val="794"/>
      </w:trPr>
      <w:tc>
        <w:tcPr>
          <w:tcW w:w="2500" w:type="pct"/>
          <w:vAlign w:val="bottom"/>
        </w:tcPr>
        <w:p w14:paraId="5BC7F3C8" w14:textId="20B4785D" w:rsidR="00471AC1" w:rsidRDefault="00471AC1" w:rsidP="00D1561E">
          <w:pPr>
            <w:rPr>
              <w:rStyle w:val="Emphasis"/>
            </w:rPr>
          </w:pPr>
          <w:r w:rsidRPr="00C21889">
            <w:rPr>
              <w:rStyle w:val="Emphasis"/>
            </w:rPr>
            <w:t xml:space="preserve">Ebl. </w:t>
          </w:r>
          <w:bookmarkStart w:id="13" w:name="T_NR"/>
          <w:r>
            <w:rPr>
              <w:rStyle w:val="Emphasis"/>
            </w:rPr>
            <w:t>18.</w:t>
          </w:r>
          <w:r w:rsidR="00B935A3">
            <w:rPr>
              <w:rStyle w:val="Emphasis"/>
            </w:rPr>
            <w:t>3.8.2.3</w:t>
          </w:r>
          <w:r>
            <w:rPr>
              <w:rStyle w:val="Emphasis"/>
            </w:rPr>
            <w:t xml:space="preserve">  </w:t>
          </w:r>
          <w:bookmarkEnd w:id="13"/>
          <w:r w:rsidR="00D1561E">
            <w:rPr>
              <w:rStyle w:val="Emphasis"/>
            </w:rPr>
            <w:t xml:space="preserve">/  </w:t>
          </w:r>
          <w:r w:rsidR="00F7285C">
            <w:rPr>
              <w:rStyle w:val="Emphasis"/>
            </w:rPr>
            <w:t>0</w:t>
          </w:r>
          <w:r w:rsidR="009C659E">
            <w:rPr>
              <w:rStyle w:val="Emphasis"/>
            </w:rPr>
            <w:t>5</w:t>
          </w:r>
          <w:r>
            <w:rPr>
              <w:rStyle w:val="Emphasis"/>
            </w:rPr>
            <w:t>.</w:t>
          </w:r>
          <w:r w:rsidR="00F7285C">
            <w:rPr>
              <w:rStyle w:val="Emphasis"/>
            </w:rPr>
            <w:t>22</w:t>
          </w:r>
          <w:r>
            <w:rPr>
              <w:rStyle w:val="Emphasis"/>
            </w:rPr>
            <w:t xml:space="preserve">  /  </w:t>
          </w:r>
          <w:r w:rsidR="00F7285C">
            <w:rPr>
              <w:rStyle w:val="Emphasis"/>
            </w:rPr>
            <w:t>7 ár+</w:t>
          </w:r>
        </w:p>
      </w:tc>
      <w:tc>
        <w:tcPr>
          <w:tcW w:w="2500" w:type="pct"/>
          <w:vAlign w:val="bottom"/>
        </w:tcPr>
        <w:p w14:paraId="5BC7F3C9" w14:textId="77777777" w:rsidR="00471AC1" w:rsidRDefault="00471AC1" w:rsidP="00953C8C">
          <w:pPr>
            <w:jc w:val="right"/>
            <w:rPr>
              <w:rStyle w:val="Emphasis"/>
            </w:rPr>
          </w:pPr>
          <w:bookmarkStart w:id="14" w:name="STRIKAM"/>
          <w:bookmarkEnd w:id="14"/>
        </w:p>
      </w:tc>
    </w:tr>
  </w:tbl>
  <w:p w14:paraId="5BC7F3CB" w14:textId="77777777" w:rsidR="00471AC1" w:rsidRPr="003A6A66" w:rsidRDefault="00471AC1"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F3C4" w14:textId="77777777" w:rsidR="00471AC1" w:rsidRDefault="00471AC1" w:rsidP="006C3641">
      <w:r>
        <w:separator/>
      </w:r>
    </w:p>
  </w:footnote>
  <w:footnote w:type="continuationSeparator" w:id="0">
    <w:p w14:paraId="5BC7F3C5" w14:textId="77777777" w:rsidR="00471AC1" w:rsidRDefault="00471AC1"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5927"/>
    <w:multiLevelType w:val="hybridMultilevel"/>
    <w:tmpl w:val="D67A8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468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6JrSLaHAd1yuEjQgfriZvkngSLd8nP2cxZL9vvNPm4aWlM3Iyft6P0e0JKtHW76OoFMqawIbKhDoUAY9gm+Og==" w:salt="09OZV7arRBLX5D+C1W7Gt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41"/>
    <w:rsid w:val="000B6BB4"/>
    <w:rsid w:val="0010014E"/>
    <w:rsid w:val="001424C8"/>
    <w:rsid w:val="0015266B"/>
    <w:rsid w:val="00161D01"/>
    <w:rsid w:val="001A3DA5"/>
    <w:rsid w:val="001A49D0"/>
    <w:rsid w:val="002015C2"/>
    <w:rsid w:val="00247F0D"/>
    <w:rsid w:val="002A6CAC"/>
    <w:rsid w:val="002C0FBA"/>
    <w:rsid w:val="002E1E07"/>
    <w:rsid w:val="0031674B"/>
    <w:rsid w:val="003A6A66"/>
    <w:rsid w:val="003F2BFE"/>
    <w:rsid w:val="00410AD4"/>
    <w:rsid w:val="00453971"/>
    <w:rsid w:val="00471AC1"/>
    <w:rsid w:val="004925B1"/>
    <w:rsid w:val="004C62C8"/>
    <w:rsid w:val="00654A69"/>
    <w:rsid w:val="006C3641"/>
    <w:rsid w:val="006F30C9"/>
    <w:rsid w:val="007606C8"/>
    <w:rsid w:val="00767075"/>
    <w:rsid w:val="007935A7"/>
    <w:rsid w:val="007B19BF"/>
    <w:rsid w:val="007B4020"/>
    <w:rsid w:val="007D0F52"/>
    <w:rsid w:val="008134AD"/>
    <w:rsid w:val="00834478"/>
    <w:rsid w:val="008472B0"/>
    <w:rsid w:val="00886A9F"/>
    <w:rsid w:val="008D2937"/>
    <w:rsid w:val="00953C8C"/>
    <w:rsid w:val="009775E4"/>
    <w:rsid w:val="009C659E"/>
    <w:rsid w:val="009D68BB"/>
    <w:rsid w:val="00A023B4"/>
    <w:rsid w:val="00A02ADE"/>
    <w:rsid w:val="00A03885"/>
    <w:rsid w:val="00AA02B2"/>
    <w:rsid w:val="00AE0290"/>
    <w:rsid w:val="00AE1089"/>
    <w:rsid w:val="00AE3CEC"/>
    <w:rsid w:val="00AF46EA"/>
    <w:rsid w:val="00B2400B"/>
    <w:rsid w:val="00B61B0C"/>
    <w:rsid w:val="00B935A3"/>
    <w:rsid w:val="00BB05EB"/>
    <w:rsid w:val="00BE05D1"/>
    <w:rsid w:val="00BF0B92"/>
    <w:rsid w:val="00BF5401"/>
    <w:rsid w:val="00C06448"/>
    <w:rsid w:val="00C32DD7"/>
    <w:rsid w:val="00C35744"/>
    <w:rsid w:val="00C836C4"/>
    <w:rsid w:val="00CA1F66"/>
    <w:rsid w:val="00D1561E"/>
    <w:rsid w:val="00E048BF"/>
    <w:rsid w:val="00E2082B"/>
    <w:rsid w:val="00E722D4"/>
    <w:rsid w:val="00EE5526"/>
    <w:rsid w:val="00F60074"/>
    <w:rsid w:val="00F70221"/>
    <w:rsid w:val="00F7285C"/>
    <w:rsid w:val="00F84536"/>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7F325"/>
  <w15:docId w15:val="{70232D1E-4D4E-4CDE-B1B4-B1D0428F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qFormat/>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qFormat/>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BE05D1"/>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1">
    <w:name w:val="Table Grid1"/>
    <w:basedOn w:val="TableNormal"/>
    <w:next w:val="TableGrid"/>
    <w:rsid w:val="00D15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277" ma:contentTypeDescription="Grunnskjal fyrir skjöl viðskiptavina" ma:contentTypeScope="" ma:versionID="3d02a329cd5e5063ed074e7744b1de9b">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0dcbf017dc3f67e33a04ebbc9ad80e08"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element name="glbVersionsXML" ma:index="45" nillable="true" ma:displayName="Version XML" ma:internalName="glbVersionsXML">
      <xsd:simpleType>
        <xsd:restriction base="dms:Note"/>
      </xsd:simpleType>
    </xsd:element>
    <xsd:element name="glbSPPI" ma:index="46" nillable="true" ma:displayName="SPPI" ma:default="0" ma:internalName="glbSPPI">
      <xsd:simpleType>
        <xsd:restriction base="dms:Boolean"/>
      </xsd:simpleType>
    </xsd:element>
    <xsd:element name="glbSPPINidurstada" ma:index="47"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8"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49"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0" nillable="true" ma:displayName="Kerfisstaða" ma:description="" ma:internalName="glbKerfisstada">
      <xsd:simpleType>
        <xsd:restriction base="dms:Text"/>
      </xsd:simpleType>
    </xsd:element>
    <xsd:element name="glbTegundUndirritunar" ma:index="51" nillable="true" ma:displayName="Tegund undirritunar" ma:description="" ma:internalName="glbTegundUndirritunar">
      <xsd:simpleType>
        <xsd:restriction base="dms:Note">
          <xsd:maxLength value="255"/>
        </xsd:restriction>
      </xsd:simpleType>
    </xsd:element>
    <xsd:element name="glbthinglysingarnumer" ma:index="52" nillable="true" ma:displayName="Þinglýsingarnúmer" ma:description="Þinglýsingar númer sem þarf að vista sértækt með gagni." ma:internalName="glbthinglysingarnumer">
      <xsd:simpleType>
        <xsd:restriction base="dms:Text"/>
      </xsd:simpleType>
    </xsd:element>
    <xsd:element name="glbSyslumannsembaetti" ma:index="53" nillable="true" ma:displayName="Sýslumannsembætti" ma:description="Sýslumannsembætti sem skjal er unnið hjá." ma:internalName="glbSyslumannsembaetti">
      <xsd:simpleType>
        <xsd:restriction base="dms:Text"/>
      </xsd:simpleType>
    </xsd:element>
    <xsd:element name="glbFastanumer" ma:index="54" nillable="true" ma:displayName="Fastanúmer" ma:description="Þarf að gera ráð fyrir Fastanúmeri í vörslu t.d. fyrir íbúðir eða bílnúmer." ma:internalName="glbFastanumer">
      <xsd:simpleType>
        <xsd:restriction base="dms:Text"/>
      </xsd:simpleType>
    </xsd:element>
    <xsd:element name="glbLandnumer" ma:index="55" nillable="true" ma:displayName="Landnúmer" ma:description="Landnúmeri eignar semJaki er þá lóðarnúmer t.d." ma:internalName="glbLandnumer">
      <xsd:simpleType>
        <xsd:restriction base="dms:Text"/>
      </xsd:simpleType>
    </xsd:element>
    <xsd:element name="glbDagsThinglysingar" ma:index="56" nillable="true" ma:displayName="DagsÞinglýsingar" ma:description="Dagsetningar þinglýsingar – þarf fleiri en eina dagsetningu (sent, móttekið, klárað)? " ma:internalName="glbDagsThinglysinga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02094dc-769a-4d41-89e6-c6ad4bee6c1c" ContentTypeId="0x0101006586215F2587754F8E025CBCA7E7FFD401" PreviousValue="true"/>
</file>

<file path=customXml/item6.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Samningur um aðgang innheimtufyrirtækis að innheimtukröfum lögaðila</TermName>
          <TermId xmlns="http://schemas.microsoft.com/office/infopath/2007/PartnerControls">e1302a7d-ce42-46e5-9b68-e1d9528ea0b0</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264</Value>
      <Value>4</Value>
      <Value>3</Value>
      <Value>1</Value>
    </TaxCatchAll>
    <glbEydingarDagsetning xmlns="80fb910c-babb-4bfd-9912-d04f91f305dd" xsi:nil="true"/>
    <glbSkilyrt xmlns="80fb910c-babb-4bfd-9912-d04f91f305dd">
      <Value>Fyrir einstaklinga</Value>
      <Value>Fyrir fyrirtæki</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Nafn2 xmlns="80fb910c-babb-4bfd-9912-d04f91f305dd" xsi:nil="true"/>
    <_dlc_DocId xmlns="534d0f36-a7db-4464-a30e-a25dcf1b655d">2X22MJ2TKQED-13-179</_dlc_DocId>
    <_dlc_DocIdUrl xmlns="534d0f36-a7db-4464-a30e-a25dcf1b655d">
      <Url>https://seifur.arionbanki.is/eydublod/_layouts/15/DocIdRedir.aspx?ID=2X22MJ2TKQED-13-179</Url>
      <Description>2X22MJ2TKQED-13-179</Description>
    </_dlc_DocIdUrl>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documentManagement>
</p:properties>
</file>

<file path=customXml/itemProps1.xml><?xml version="1.0" encoding="utf-8"?>
<ds:datastoreItem xmlns:ds="http://schemas.openxmlformats.org/officeDocument/2006/customXml" ds:itemID="{C9EADCE9-460B-4030-9FE7-3315C1DE9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D25FB-6231-4E01-A432-819C6EAF8EBC}">
  <ds:schemaRefs>
    <ds:schemaRef ds:uri="http://schemas.microsoft.com/sharepoint/v3/contenttype/forms"/>
  </ds:schemaRefs>
</ds:datastoreItem>
</file>

<file path=customXml/itemProps3.xml><?xml version="1.0" encoding="utf-8"?>
<ds:datastoreItem xmlns:ds="http://schemas.openxmlformats.org/officeDocument/2006/customXml" ds:itemID="{67ADA7FF-9251-4163-B832-DA12FBA4C709}">
  <ds:schemaRefs>
    <ds:schemaRef ds:uri="http://schemas.microsoft.com/sharepoint/events"/>
  </ds:schemaRefs>
</ds:datastoreItem>
</file>

<file path=customXml/itemProps4.xml><?xml version="1.0" encoding="utf-8"?>
<ds:datastoreItem xmlns:ds="http://schemas.openxmlformats.org/officeDocument/2006/customXml" ds:itemID="{3569CD36-5B06-4D7D-99C0-5C77B35103E0}">
  <ds:schemaRefs>
    <ds:schemaRef ds:uri="http://schemas.openxmlformats.org/officeDocument/2006/bibliography"/>
  </ds:schemaRefs>
</ds:datastoreItem>
</file>

<file path=customXml/itemProps5.xml><?xml version="1.0" encoding="utf-8"?>
<ds:datastoreItem xmlns:ds="http://schemas.openxmlformats.org/officeDocument/2006/customXml" ds:itemID="{B3445D8A-188E-40E2-99C4-06B47081D801}">
  <ds:schemaRefs>
    <ds:schemaRef ds:uri="Microsoft.SharePoint.Taxonomy.ContentTypeSync"/>
  </ds:schemaRefs>
</ds:datastoreItem>
</file>

<file path=customXml/itemProps6.xml><?xml version="1.0" encoding="utf-8"?>
<ds:datastoreItem xmlns:ds="http://schemas.openxmlformats.org/officeDocument/2006/customXml" ds:itemID="{4BB5B734-382D-488B-9EEE-FB93E31A0894}">
  <ds:schemaRefs>
    <ds:schemaRef ds:uri="http://purl.org/dc/terms/"/>
    <ds:schemaRef ds:uri="http://schemas.microsoft.com/office/2006/documentManagement/types"/>
    <ds:schemaRef ds:uri="3bbe397a-f104-41c1-a027-56c503be3da2"/>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534d0f36-a7db-4464-a30e-a25dcf1b655d"/>
    <ds:schemaRef ds:uri="80fb910c-babb-4bfd-9912-d04f91f305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Ásgerður Káradóttir</dc:creator>
  <cp:lastModifiedBy>Ásgerður Káradóttir</cp:lastModifiedBy>
  <cp:revision>3</cp:revision>
  <dcterms:created xsi:type="dcterms:W3CDTF">2022-05-25T13:27:00Z</dcterms:created>
  <dcterms:modified xsi:type="dcterms:W3CDTF">2022-05-25T14:03:00Z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0x0101006586215F2587754F8E025CBCA7E7FFD401005461BAE6EBA890489B0BE643B0ABACCF</vt:lpwstr>
  </property>
  <property fmtid="{D5CDD505-2E9C-101B-9397-08002B2CF9AE}" pid="3" name="_dlc_DocIdItemGuid">
    <vt:lpwstr>dca994f4-5e20-4274-8453-a5574c2f920c</vt:lpwstr>
  </property>
  <property fmtid="{D5CDD505-2E9C-101B-9397-08002B2CF9AE}" pid="4" name="glbTegundVVSkjals">
    <vt:lpwstr>264;#Samningur um aðgang innheimtufyrirtækis að innheimtukröfum lögaðila|e1302a7d-ce42-46e5-9b68-e1d9528ea0b0</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3;#Þjónusta (23.2.3)|9111633f-592b-4cda-9feb-02bb017fe3a8</vt:lpwstr>
  </property>
  <property fmtid="{D5CDD505-2E9C-101B-9397-08002B2CF9AE}" pid="8" name="glbGeymsluaaetlun">
    <vt:lpwstr>4;#Lokadags +7 ár|6780ba3d-ef1f-4052-94ba-8da1c46d2c94</vt:lpwstr>
  </property>
  <property fmtid="{D5CDD505-2E9C-101B-9397-08002B2CF9AE}" pid="9" name="WorkflowChangePath">
    <vt:lpwstr>b4449c40-c14a-450b-b805-e6341851b500,8;fe129b94-708f-41ce-9e11-080c4ab001b1,13;fe129b94-708f-41ce-9e11-080c4ab001b1,18;fe129b94-708f-41ce-9e11-080c4ab001b1,23;fe129b94-708f-41ce-9e11-080c4ab001b1,28;fe129b94-708f-41ce-9e11-080c4ab001b1,34;fe129b94-708f-41ce-9e11-080c4ab001b1,39;fe129b94-708f-41ce-9e11-080c4ab001b1,43;fe129b94-708f-41ce-9e11-080c4ab001b1,50;fe129b94-708f-41ce-9e11-080c4ab001b1,55;</vt:lpwstr>
  </property>
  <property fmtid="{D5CDD505-2E9C-101B-9397-08002B2CF9AE}" pid="10" name="TaxKeyword">
    <vt:lpwstr/>
  </property>
  <property fmtid="{D5CDD505-2E9C-101B-9397-08002B2CF9AE}" pid="11" name="Tengist Kerfi">
    <vt:lpwstr>Ytrivefur</vt:lpwstr>
  </property>
</Properties>
</file>